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3FA68" w14:textId="364BB468" w:rsidR="00034685" w:rsidRPr="009D411D" w:rsidRDefault="00024B49" w:rsidP="00D80B69">
      <w:pPr>
        <w:pStyle w:val="berschrift-H2"/>
      </w:pPr>
      <w:r>
        <w:t xml:space="preserve">Rittal bietet zukunftssichere Kühlgeräte und </w:t>
      </w:r>
      <w:proofErr w:type="spellStart"/>
      <w:r>
        <w:t>Chiller</w:t>
      </w:r>
      <w:proofErr w:type="spellEnd"/>
    </w:p>
    <w:p w14:paraId="031D34B4" w14:textId="61DECCA3" w:rsidR="0030636B" w:rsidRDefault="00024B49" w:rsidP="00D80B69">
      <w:pPr>
        <w:pStyle w:val="berschrift-H1"/>
      </w:pPr>
      <w:r>
        <w:t>Neue Spielregeln für Kältemittel</w:t>
      </w:r>
    </w:p>
    <w:p w14:paraId="28FB8BA0" w14:textId="3F5D4494" w:rsidR="0030636B" w:rsidRPr="00F90E37" w:rsidRDefault="0030636B" w:rsidP="00D80B69">
      <w:pPr>
        <w:pStyle w:val="Ort-Datum"/>
      </w:pPr>
      <w:r w:rsidRPr="00F90E37">
        <w:t xml:space="preserve">Herborn, </w:t>
      </w:r>
      <w:r w:rsidR="0093043F">
        <w:t>21. April 2026</w:t>
      </w:r>
    </w:p>
    <w:p w14:paraId="07526BEF" w14:textId="6DF8CB35" w:rsidR="004C30CC" w:rsidRDefault="004C30CC" w:rsidP="0049199B">
      <w:pPr>
        <w:pStyle w:val="Copytext-Intro"/>
        <w:shd w:val="clear" w:color="auto" w:fill="FFFFFF" w:themeFill="background1"/>
      </w:pPr>
      <w:r w:rsidRPr="00DA14FF">
        <w:t>I</w:t>
      </w:r>
      <w:r w:rsidR="00D827F6">
        <w:t xml:space="preserve">n </w:t>
      </w:r>
      <w:r w:rsidRPr="00DA14FF">
        <w:t xml:space="preserve">2027 treten durch die EU neue Vorschriften in Kraft, die bei Neumaschinen die Nutzung von Kältemitteln weiter einschränken. Dabei dürfen viele Kältemittel zukünftig nicht mehr in Verkehr gebracht werden. Das betrifft sehr viele Maschinen und Anlagen, in denen Schaltschrank-Kühlgeräte oder </w:t>
      </w:r>
      <w:proofErr w:type="spellStart"/>
      <w:r w:rsidRPr="00DA14FF">
        <w:t>Chiller</w:t>
      </w:r>
      <w:proofErr w:type="spellEnd"/>
      <w:r w:rsidRPr="00DA14FF">
        <w:t xml:space="preserve"> verbaut sind. Rittal bietet verschiedene Baureihen seiner Kühlgeräte mit de</w:t>
      </w:r>
      <w:r w:rsidR="006A0E79">
        <w:t>m neuen</w:t>
      </w:r>
      <w:r w:rsidRPr="00DA14FF">
        <w:t xml:space="preserve"> Kältemittel</w:t>
      </w:r>
      <w:r w:rsidR="006A0E79">
        <w:t xml:space="preserve"> R</w:t>
      </w:r>
      <w:r w:rsidR="00904A81">
        <w:t>-</w:t>
      </w:r>
      <w:r w:rsidR="006A0E79">
        <w:t>1234yf</w:t>
      </w:r>
      <w:r w:rsidRPr="00DA14FF">
        <w:t xml:space="preserve"> an, so dass Maschinenhersteller in den meisten Fällen ohne weitere Änderungen ihre Produkte zukunftssicher machen können.</w:t>
      </w:r>
    </w:p>
    <w:p w14:paraId="6A11F9FA" w14:textId="2915501C" w:rsidR="008F5489" w:rsidRDefault="008F5489" w:rsidP="0049199B">
      <w:pPr>
        <w:pStyle w:val="Copytext-Intro"/>
        <w:spacing w:before="0" w:after="0"/>
        <w:rPr>
          <w:b w:val="0"/>
          <w:bCs/>
        </w:rPr>
      </w:pPr>
      <w:r w:rsidRPr="0049199B">
        <w:rPr>
          <w:b w:val="0"/>
          <w:bCs/>
        </w:rPr>
        <w:t>Die Verordnung 2024/573 der EU</w:t>
      </w:r>
      <w:r w:rsidR="006B5D50" w:rsidRPr="0049199B">
        <w:rPr>
          <w:b w:val="0"/>
          <w:bCs/>
        </w:rPr>
        <w:t xml:space="preserve"> beschränkt</w:t>
      </w:r>
      <w:r w:rsidRPr="0049199B">
        <w:rPr>
          <w:b w:val="0"/>
          <w:bCs/>
        </w:rPr>
        <w:t xml:space="preserve"> </w:t>
      </w:r>
      <w:r w:rsidR="00CC1C06" w:rsidRPr="0049199B">
        <w:rPr>
          <w:b w:val="0"/>
          <w:bCs/>
        </w:rPr>
        <w:t xml:space="preserve">ab dem 01. Januar 2027 </w:t>
      </w:r>
      <w:r w:rsidR="00533EE2" w:rsidRPr="0049199B">
        <w:rPr>
          <w:b w:val="0"/>
          <w:bCs/>
        </w:rPr>
        <w:t>die Nutzung von Kältemitteln</w:t>
      </w:r>
      <w:r w:rsidRPr="0049199B">
        <w:rPr>
          <w:b w:val="0"/>
          <w:bCs/>
        </w:rPr>
        <w:t xml:space="preserve"> in Kühlgeräten und </w:t>
      </w:r>
      <w:proofErr w:type="spellStart"/>
      <w:r w:rsidRPr="0049199B">
        <w:rPr>
          <w:b w:val="0"/>
          <w:bCs/>
        </w:rPr>
        <w:t>Chillern</w:t>
      </w:r>
      <w:proofErr w:type="spellEnd"/>
      <w:r w:rsidRPr="0049199B">
        <w:rPr>
          <w:b w:val="0"/>
          <w:bCs/>
        </w:rPr>
        <w:t xml:space="preserve"> mit einer Kühlleistung unter 12 kW. </w:t>
      </w:r>
      <w:r w:rsidR="00533EE2" w:rsidRPr="0049199B">
        <w:rPr>
          <w:b w:val="0"/>
          <w:bCs/>
        </w:rPr>
        <w:t xml:space="preserve">Es dürfen nur noch Kühlgeräte mit einem Kältemittel GWP (Global </w:t>
      </w:r>
      <w:proofErr w:type="spellStart"/>
      <w:r w:rsidR="00533EE2" w:rsidRPr="0049199B">
        <w:rPr>
          <w:b w:val="0"/>
          <w:bCs/>
        </w:rPr>
        <w:t>Warming</w:t>
      </w:r>
      <w:proofErr w:type="spellEnd"/>
      <w:r w:rsidR="00533EE2" w:rsidRPr="0049199B">
        <w:rPr>
          <w:b w:val="0"/>
          <w:bCs/>
        </w:rPr>
        <w:t xml:space="preserve"> Potential) &lt;150 in der EU in Verkehr gebracht werden.</w:t>
      </w:r>
      <w:r w:rsidR="006B5D50" w:rsidRPr="0049199B">
        <w:rPr>
          <w:b w:val="0"/>
          <w:bCs/>
        </w:rPr>
        <w:t xml:space="preserve"> </w:t>
      </w:r>
      <w:r w:rsidR="002D3205" w:rsidRPr="0049199B">
        <w:rPr>
          <w:b w:val="0"/>
          <w:bCs/>
        </w:rPr>
        <w:t xml:space="preserve">Ab 2032 </w:t>
      </w:r>
      <w:r w:rsidR="00361F39" w:rsidRPr="0049199B">
        <w:rPr>
          <w:b w:val="0"/>
          <w:bCs/>
        </w:rPr>
        <w:t>sollen</w:t>
      </w:r>
      <w:r w:rsidR="002D3205" w:rsidRPr="0049199B">
        <w:rPr>
          <w:b w:val="0"/>
          <w:bCs/>
        </w:rPr>
        <w:t xml:space="preserve"> in diesen Produkten </w:t>
      </w:r>
      <w:r w:rsidR="00046E2A" w:rsidRPr="0049199B">
        <w:rPr>
          <w:b w:val="0"/>
          <w:bCs/>
        </w:rPr>
        <w:t xml:space="preserve">auch </w:t>
      </w:r>
      <w:r w:rsidR="002D3205" w:rsidRPr="0049199B">
        <w:rPr>
          <w:b w:val="0"/>
          <w:bCs/>
        </w:rPr>
        <w:t xml:space="preserve">keine F-Gase-haltigen Kältemittel mehr verwendet werden. </w:t>
      </w:r>
      <w:proofErr w:type="spellStart"/>
      <w:r w:rsidR="002D3205" w:rsidRPr="0049199B">
        <w:rPr>
          <w:b w:val="0"/>
          <w:bCs/>
        </w:rPr>
        <w:t>Chiller</w:t>
      </w:r>
      <w:proofErr w:type="spellEnd"/>
      <w:r w:rsidR="002D3205" w:rsidRPr="0049199B">
        <w:rPr>
          <w:b w:val="0"/>
          <w:bCs/>
        </w:rPr>
        <w:t xml:space="preserve"> über 12kW Kühlleistung, die ab 2027 neu in Verkehr gebracht werden, sollen dann nur noch Kältemittel verwenden, die ein GWP &lt;750 haben. Weitere Verordnungen weltweit, beispielsweise in den USA, definieren seit 2025 einen GWP-Wert von 700</w:t>
      </w:r>
      <w:r w:rsidR="0018219C" w:rsidRPr="0049199B">
        <w:rPr>
          <w:b w:val="0"/>
          <w:bCs/>
        </w:rPr>
        <w:t xml:space="preserve"> für Kältemittel</w:t>
      </w:r>
      <w:r w:rsidR="00490A97" w:rsidRPr="0049199B">
        <w:rPr>
          <w:b w:val="0"/>
          <w:bCs/>
        </w:rPr>
        <w:t xml:space="preserve"> in diesen Geräten</w:t>
      </w:r>
      <w:r w:rsidR="002D3205" w:rsidRPr="0049199B">
        <w:rPr>
          <w:b w:val="0"/>
          <w:bCs/>
        </w:rPr>
        <w:t>.</w:t>
      </w:r>
    </w:p>
    <w:p w14:paraId="4EAFCB21" w14:textId="77777777" w:rsidR="008F5489" w:rsidRPr="00973EA9" w:rsidRDefault="008F5489" w:rsidP="008F5489">
      <w:pPr>
        <w:pStyle w:val="Copytext"/>
      </w:pPr>
    </w:p>
    <w:p w14:paraId="49108CA0" w14:textId="52362116" w:rsidR="008F5489" w:rsidRPr="00973EA9" w:rsidRDefault="008F5489" w:rsidP="008F5489">
      <w:pPr>
        <w:pStyle w:val="Copytext-Intro"/>
        <w:spacing w:before="0" w:after="0"/>
      </w:pPr>
      <w:r>
        <w:t>Einhaltung der Vorschriften ohne großen Aufwand</w:t>
      </w:r>
    </w:p>
    <w:p w14:paraId="7915FEB3" w14:textId="4F8516B0" w:rsidR="008F5489" w:rsidRDefault="00022DB6" w:rsidP="008F5489">
      <w:pPr>
        <w:pStyle w:val="Copytext-Intro"/>
        <w:spacing w:before="0" w:after="0"/>
        <w:rPr>
          <w:b w:val="0"/>
          <w:bCs/>
        </w:rPr>
      </w:pPr>
      <w:r>
        <w:rPr>
          <w:b w:val="0"/>
          <w:bCs/>
        </w:rPr>
        <w:br/>
      </w:r>
      <w:r w:rsidR="008F5489" w:rsidRPr="00E05B77">
        <w:rPr>
          <w:b w:val="0"/>
          <w:bCs/>
        </w:rPr>
        <w:t xml:space="preserve">Rittal hat auf die immer weiter verschärften Grenzwerte schon im Jahr 2024 reagiert und alle </w:t>
      </w:r>
      <w:r w:rsidR="008F5489">
        <w:rPr>
          <w:b w:val="0"/>
          <w:bCs/>
        </w:rPr>
        <w:t>Kühl</w:t>
      </w:r>
      <w:r w:rsidR="008F5489" w:rsidRPr="00E05B77">
        <w:rPr>
          <w:b w:val="0"/>
          <w:bCs/>
        </w:rPr>
        <w:t xml:space="preserve">geräte </w:t>
      </w:r>
      <w:r w:rsidR="008F5489">
        <w:rPr>
          <w:b w:val="0"/>
          <w:bCs/>
        </w:rPr>
        <w:t xml:space="preserve">und </w:t>
      </w:r>
      <w:proofErr w:type="spellStart"/>
      <w:r w:rsidR="008F5489">
        <w:rPr>
          <w:b w:val="0"/>
          <w:bCs/>
        </w:rPr>
        <w:t>Chiller</w:t>
      </w:r>
      <w:proofErr w:type="spellEnd"/>
      <w:r w:rsidR="008F5489">
        <w:rPr>
          <w:b w:val="0"/>
          <w:bCs/>
        </w:rPr>
        <w:t xml:space="preserve"> </w:t>
      </w:r>
      <w:r w:rsidR="008F5489" w:rsidRPr="00E05B77">
        <w:rPr>
          <w:b w:val="0"/>
          <w:bCs/>
        </w:rPr>
        <w:t>auf das Kältemittel R</w:t>
      </w:r>
      <w:r w:rsidR="00904A81">
        <w:rPr>
          <w:b w:val="0"/>
          <w:bCs/>
        </w:rPr>
        <w:t>-</w:t>
      </w:r>
      <w:r w:rsidR="008F5489" w:rsidRPr="00E05B77">
        <w:rPr>
          <w:b w:val="0"/>
          <w:bCs/>
        </w:rPr>
        <w:t>513A umgestellt, das aus einer Mischung von R</w:t>
      </w:r>
      <w:r w:rsidR="00904A81">
        <w:rPr>
          <w:b w:val="0"/>
          <w:bCs/>
        </w:rPr>
        <w:t>-</w:t>
      </w:r>
      <w:r w:rsidR="008F5489" w:rsidRPr="00E05B77">
        <w:rPr>
          <w:b w:val="0"/>
          <w:bCs/>
        </w:rPr>
        <w:t>134a und R</w:t>
      </w:r>
      <w:r w:rsidR="00904A81">
        <w:rPr>
          <w:b w:val="0"/>
          <w:bCs/>
        </w:rPr>
        <w:t>-</w:t>
      </w:r>
      <w:r w:rsidR="008F5489" w:rsidRPr="00E05B77">
        <w:rPr>
          <w:b w:val="0"/>
          <w:bCs/>
        </w:rPr>
        <w:t>1234yf besteht und einen GWP von 631 erreicht. Damit sind diese Geräte bis auf weiteres auch international zugelassen. Ab dem ersten Quartal 2026 wird dann das Blue e+-Kühlgeräteportfolio auf R</w:t>
      </w:r>
      <w:r w:rsidR="00904A81">
        <w:rPr>
          <w:b w:val="0"/>
          <w:bCs/>
        </w:rPr>
        <w:t>-</w:t>
      </w:r>
      <w:r w:rsidR="008F5489" w:rsidRPr="00E05B77">
        <w:rPr>
          <w:b w:val="0"/>
          <w:bCs/>
        </w:rPr>
        <w:t xml:space="preserve">1234yf umgestellt, im zweiten Quartal folgen die </w:t>
      </w:r>
      <w:proofErr w:type="spellStart"/>
      <w:r w:rsidR="008F5489" w:rsidRPr="00E05B77">
        <w:rPr>
          <w:b w:val="0"/>
          <w:bCs/>
        </w:rPr>
        <w:t>Chiller</w:t>
      </w:r>
      <w:proofErr w:type="spellEnd"/>
      <w:r w:rsidR="008F5489" w:rsidRPr="00E05B77">
        <w:rPr>
          <w:b w:val="0"/>
          <w:bCs/>
        </w:rPr>
        <w:t xml:space="preserve"> der Blue e+-Baureihe. „Damit erfüllen Klimageräte von Rittal in jedem Fall </w:t>
      </w:r>
      <w:r w:rsidR="008F5489" w:rsidRPr="0049199B">
        <w:rPr>
          <w:b w:val="0"/>
          <w:bCs/>
        </w:rPr>
        <w:t>die</w:t>
      </w:r>
      <w:r w:rsidR="00490A97" w:rsidRPr="0049199B">
        <w:rPr>
          <w:b w:val="0"/>
          <w:bCs/>
        </w:rPr>
        <w:t xml:space="preserve"> internationalen</w:t>
      </w:r>
      <w:r w:rsidR="008F5489" w:rsidRPr="0049199B">
        <w:rPr>
          <w:b w:val="0"/>
          <w:bCs/>
        </w:rPr>
        <w:t xml:space="preserve"> Regularien bis</w:t>
      </w:r>
      <w:r w:rsidR="008F5489" w:rsidRPr="00E05B77">
        <w:rPr>
          <w:b w:val="0"/>
          <w:bCs/>
        </w:rPr>
        <w:t xml:space="preserve"> ins Jahr </w:t>
      </w:r>
      <w:r w:rsidR="008F5489" w:rsidRPr="00B82600">
        <w:rPr>
          <w:b w:val="0"/>
          <w:bCs/>
        </w:rPr>
        <w:t xml:space="preserve">2032 – </w:t>
      </w:r>
      <w:r w:rsidR="008F5489">
        <w:rPr>
          <w:b w:val="0"/>
          <w:bCs/>
        </w:rPr>
        <w:t xml:space="preserve">und </w:t>
      </w:r>
      <w:r w:rsidR="008F5489" w:rsidRPr="00B82600">
        <w:rPr>
          <w:b w:val="0"/>
          <w:bCs/>
        </w:rPr>
        <w:t>wir werden auch rechtzeitig passende Lösungen für unsere Kunden haben, die den gültigen Anforderungen ab 2032 entsprechen</w:t>
      </w:r>
      <w:r w:rsidR="008F5489" w:rsidRPr="00E05B77">
        <w:rPr>
          <w:b w:val="0"/>
          <w:bCs/>
        </w:rPr>
        <w:t>“, bestätigt Ralf Schneider, Abteilungsleiter Solution Sales Klimatisierung bei Rittal.</w:t>
      </w:r>
    </w:p>
    <w:p w14:paraId="3E163D67" w14:textId="77777777" w:rsidR="008A09E2" w:rsidRDefault="008A09E2" w:rsidP="008F5489">
      <w:pPr>
        <w:pStyle w:val="Copytext-Intro"/>
        <w:spacing w:before="0" w:after="0"/>
      </w:pPr>
    </w:p>
    <w:p w14:paraId="324522A2" w14:textId="423D208B" w:rsidR="008F5489" w:rsidRDefault="008F5489" w:rsidP="008F5489">
      <w:pPr>
        <w:pStyle w:val="Copytext-Intro"/>
        <w:spacing w:before="0" w:after="0"/>
      </w:pPr>
      <w:r>
        <w:t>Neue Kältemittel mit höherem Brandrisiko</w:t>
      </w:r>
    </w:p>
    <w:p w14:paraId="791C001C" w14:textId="77777777" w:rsidR="008A09E2" w:rsidRPr="008A09E2" w:rsidRDefault="008A09E2" w:rsidP="008A09E2">
      <w:pPr>
        <w:pStyle w:val="Copytext"/>
      </w:pPr>
    </w:p>
    <w:p w14:paraId="5952DAA8" w14:textId="3FC43AC6" w:rsidR="008F5489" w:rsidRDefault="005C2081" w:rsidP="008F5489">
      <w:pPr>
        <w:pStyle w:val="Copytext"/>
      </w:pPr>
      <w:r>
        <w:t xml:space="preserve">Bei der Aufstellung von Kälteanlagen ist allerdings zu berücksichtigen, dass sich mit </w:t>
      </w:r>
      <w:r w:rsidR="008F5489">
        <w:t>abnehmendem GWP</w:t>
      </w:r>
      <w:r w:rsidR="00960E6A">
        <w:t xml:space="preserve"> </w:t>
      </w:r>
      <w:r w:rsidR="008F5489">
        <w:t>die Entzündlichkeit der Kältemittel</w:t>
      </w:r>
      <w:r>
        <w:t xml:space="preserve"> erhöht</w:t>
      </w:r>
      <w:r w:rsidR="008F5489">
        <w:t xml:space="preserve">. </w:t>
      </w:r>
      <w:r w:rsidR="001E1BFE">
        <w:t>„</w:t>
      </w:r>
      <w:r w:rsidR="008F5489">
        <w:t>R</w:t>
      </w:r>
      <w:r w:rsidR="00904A81">
        <w:t>-</w:t>
      </w:r>
      <w:r w:rsidR="008F5489">
        <w:t xml:space="preserve">1234yf ist zwar brennbar, entzündet sich aber erst bei über 400 Grad und ist damit schwer entflammbar (Sicherheitsklasse A2L)“, erklärt Ralf Schneider. </w:t>
      </w:r>
      <w:r w:rsidR="008F5489" w:rsidRPr="00B82600">
        <w:t>Die von Rittal durchgeführte Risikoanalyse für den Einsatz des Kältemittels in Schaltschrank-Kühlgeräten führte zu einer „</w:t>
      </w:r>
      <w:r w:rsidR="00FC4E80">
        <w:t>L</w:t>
      </w:r>
      <w:r w:rsidR="008F5489" w:rsidRPr="00B82600">
        <w:t xml:space="preserve">ow </w:t>
      </w:r>
      <w:r w:rsidR="00FC4E80">
        <w:t>R</w:t>
      </w:r>
      <w:r w:rsidR="008F5489" w:rsidRPr="00B82600">
        <w:t>isk“</w:t>
      </w:r>
      <w:r w:rsidR="00FC4E80">
        <w:t>-</w:t>
      </w:r>
      <w:r w:rsidR="008F5489" w:rsidRPr="00B82600">
        <w:t>Einschätzung.</w:t>
      </w:r>
    </w:p>
    <w:p w14:paraId="5A9B32F3" w14:textId="77777777" w:rsidR="008F5489" w:rsidRDefault="008F5489" w:rsidP="008F5489">
      <w:pPr>
        <w:pStyle w:val="Copytext"/>
      </w:pPr>
    </w:p>
    <w:p w14:paraId="2EE3CFF0" w14:textId="2F788FEC" w:rsidR="008F5489" w:rsidRDefault="008F5489" w:rsidP="008F5489">
      <w:pPr>
        <w:pStyle w:val="Copytext"/>
      </w:pPr>
      <w:r>
        <w:t>In der Automobilindustrie wurden zum Einsatz von R</w:t>
      </w:r>
      <w:r w:rsidR="00904A81">
        <w:t>-</w:t>
      </w:r>
      <w:r>
        <w:t>1234yf verschiedene Untersuchungen und Tests durchgeführt. Die Ergebnisse zeigen ein höheres Gesamtrisiko als bei der Nutzung von R</w:t>
      </w:r>
      <w:r w:rsidR="00904A81">
        <w:t>-</w:t>
      </w:r>
      <w:r>
        <w:t>134a, aber insgesamt keinen relevanten Anstieg des Risikos bei Unfällen. In Ja</w:t>
      </w:r>
      <w:r w:rsidRPr="00BA30D7">
        <w:t>pan wird R</w:t>
      </w:r>
      <w:r w:rsidR="00904A81">
        <w:t>-</w:t>
      </w:r>
      <w:r w:rsidRPr="00BA30D7">
        <w:t xml:space="preserve">1234yf in </w:t>
      </w:r>
      <w:r w:rsidR="00FD5AD2" w:rsidRPr="00BA30D7">
        <w:t>S</w:t>
      </w:r>
      <w:r w:rsidR="00490A97" w:rsidRPr="00BA30D7">
        <w:t>chaltschrank-</w:t>
      </w:r>
      <w:r w:rsidR="00FD5AD2" w:rsidRPr="00BA30D7">
        <w:t>Kühlgeräten und sonstigen Kälteanlagen</w:t>
      </w:r>
      <w:r w:rsidRPr="00BA30D7">
        <w:t xml:space="preserve"> seit</w:t>
      </w:r>
      <w:r>
        <w:t xml:space="preserve"> vielen Jahren eingesetzt, weil dann im Gegensatz zur Nutzung von F-Gasen keine regelmäßige Wartung vorgeschrieben ist. Rittal liefert seit dem Jahr 2018 in diesen Markt Geräte mit R</w:t>
      </w:r>
      <w:r w:rsidR="00904A81">
        <w:t>-</w:t>
      </w:r>
      <w:r>
        <w:t>1234yf-Füllung und hat so viel Erfahrung mit diesem Stoff gesammelt.</w:t>
      </w:r>
      <w:r w:rsidR="00D50860">
        <w:t xml:space="preserve"> </w:t>
      </w:r>
      <w:r>
        <w:t xml:space="preserve">Maschinenhersteller können damit in Schaltschränken und anderen Anwendungen auf absehbare Zeit ohne größere Änderungen die Kühlgeräte und </w:t>
      </w:r>
      <w:proofErr w:type="spellStart"/>
      <w:r>
        <w:t>Chiller</w:t>
      </w:r>
      <w:proofErr w:type="spellEnd"/>
      <w:r>
        <w:t xml:space="preserve"> von Rittal einsetzen und so ihre Anlagen weltweit regelkonform vertreiben. </w:t>
      </w:r>
    </w:p>
    <w:p w14:paraId="14383A9E" w14:textId="77777777" w:rsidR="00810475" w:rsidRDefault="00810475" w:rsidP="008F5489">
      <w:pPr>
        <w:pStyle w:val="Copytext"/>
      </w:pPr>
    </w:p>
    <w:p w14:paraId="5DA9AB92" w14:textId="623C2026" w:rsidR="00904BFC" w:rsidRPr="00DE247E" w:rsidRDefault="00B31458" w:rsidP="002B4608">
      <w:pPr>
        <w:pStyle w:val="Copytext"/>
        <w:rPr>
          <w:b/>
          <w:bCs w:val="0"/>
        </w:rPr>
      </w:pPr>
      <w:r>
        <w:rPr>
          <w:b/>
          <w:bCs w:val="0"/>
        </w:rPr>
        <w:t xml:space="preserve">Zukunftsfähiges </w:t>
      </w:r>
      <w:r w:rsidR="00001650">
        <w:rPr>
          <w:b/>
          <w:bCs w:val="0"/>
        </w:rPr>
        <w:t>Portfolio</w:t>
      </w:r>
      <w:r w:rsidR="00381D89">
        <w:rPr>
          <w:b/>
          <w:bCs w:val="0"/>
        </w:rPr>
        <w:t xml:space="preserve"> gewährleistet</w:t>
      </w:r>
    </w:p>
    <w:p w14:paraId="2B9288E5" w14:textId="77777777" w:rsidR="00001650" w:rsidRDefault="00001650" w:rsidP="002B4608">
      <w:pPr>
        <w:pStyle w:val="Copytext"/>
      </w:pPr>
    </w:p>
    <w:p w14:paraId="64AEDABE" w14:textId="1F322EA8" w:rsidR="002B4608" w:rsidRDefault="002B4608" w:rsidP="002B4608">
      <w:pPr>
        <w:pStyle w:val="Copytext"/>
      </w:pPr>
      <w:r w:rsidRPr="002B4608">
        <w:t xml:space="preserve">Rittal stellt mit </w:t>
      </w:r>
      <w:r w:rsidR="00001650">
        <w:t xml:space="preserve">seinen </w:t>
      </w:r>
      <w:r w:rsidRPr="002B4608">
        <w:t xml:space="preserve">Blue e+ </w:t>
      </w:r>
      <w:r w:rsidR="00001650" w:rsidRPr="00BA30D7">
        <w:t>Kühlgeräten</w:t>
      </w:r>
      <w:r w:rsidR="006049AB" w:rsidRPr="00BA30D7">
        <w:t xml:space="preserve"> </w:t>
      </w:r>
      <w:r w:rsidR="0020621C" w:rsidRPr="00BA30D7">
        <w:t>mit dem neuen Kältemittel R</w:t>
      </w:r>
      <w:r w:rsidR="00904A81">
        <w:t>-</w:t>
      </w:r>
      <w:r w:rsidR="0020621C" w:rsidRPr="00BA30D7">
        <w:t>1234yf</w:t>
      </w:r>
      <w:r w:rsidR="00001650" w:rsidRPr="00BA30D7">
        <w:t xml:space="preserve"> </w:t>
      </w:r>
      <w:r w:rsidRPr="00BA30D7">
        <w:t>bereits heute die vollständige Einhaltung der F</w:t>
      </w:r>
      <w:r w:rsidRPr="00BA30D7">
        <w:rPr>
          <w:rFonts w:ascii="Cambria Math" w:hAnsi="Cambria Math" w:cs="Cambria Math"/>
        </w:rPr>
        <w:t>‑</w:t>
      </w:r>
      <w:r w:rsidRPr="00BA30D7">
        <w:t>Gase</w:t>
      </w:r>
      <w:r w:rsidRPr="00BA30D7">
        <w:rPr>
          <w:rFonts w:ascii="Cambria Math" w:hAnsi="Cambria Math" w:cs="Cambria Math"/>
        </w:rPr>
        <w:t>‑</w:t>
      </w:r>
      <w:r w:rsidRPr="00BA30D7">
        <w:t>Vorgaben sicher und minimiert</w:t>
      </w:r>
      <w:r w:rsidRPr="002B4608">
        <w:t xml:space="preserve"> gleichzeitig Kostenrisiken. </w:t>
      </w:r>
      <w:r w:rsidR="0020621C">
        <w:t>Denn</w:t>
      </w:r>
      <w:r w:rsidRPr="002B4608">
        <w:t>: Kältemittel mit höherem GWP wie R</w:t>
      </w:r>
      <w:r w:rsidR="00904A81">
        <w:t>-</w:t>
      </w:r>
      <w:r w:rsidRPr="002B4608">
        <w:t>513A werden durch die strengeren Quoten zunehmend knapp und teuer. Die frühzeitige Umstellung auf R</w:t>
      </w:r>
      <w:r w:rsidR="00904A81">
        <w:t>-</w:t>
      </w:r>
      <w:r w:rsidRPr="002B4608">
        <w:t>1234yf gewährleistet deshalb auch langfristig eine sichere Versorgung – besonders nach den deutlichen Reduktionen ab 2027.</w:t>
      </w:r>
    </w:p>
    <w:p w14:paraId="60AE32C3" w14:textId="77777777" w:rsidR="00001650" w:rsidRPr="002B4608" w:rsidRDefault="00001650" w:rsidP="002B4608">
      <w:pPr>
        <w:pStyle w:val="Copytext"/>
      </w:pPr>
    </w:p>
    <w:p w14:paraId="1744E003" w14:textId="58F0732F" w:rsidR="00381D89" w:rsidRDefault="002B4608" w:rsidP="002B4608">
      <w:pPr>
        <w:pStyle w:val="Copytext"/>
      </w:pPr>
      <w:r w:rsidRPr="002B4608">
        <w:t>Dank UL</w:t>
      </w:r>
      <w:r w:rsidRPr="002B4608">
        <w:rPr>
          <w:rFonts w:ascii="Cambria Math" w:hAnsi="Cambria Math" w:cs="Cambria Math"/>
        </w:rPr>
        <w:t>‑</w:t>
      </w:r>
      <w:r w:rsidRPr="002B4608">
        <w:t xml:space="preserve"> und IEC</w:t>
      </w:r>
      <w:r w:rsidRPr="002B4608">
        <w:rPr>
          <w:rFonts w:ascii="Cambria Math" w:hAnsi="Cambria Math" w:cs="Cambria Math"/>
        </w:rPr>
        <w:t>‑</w:t>
      </w:r>
      <w:r w:rsidRPr="002B4608">
        <w:t>Zertifizierungen, den sehr geringen A2L</w:t>
      </w:r>
      <w:r w:rsidRPr="002B4608">
        <w:rPr>
          <w:rFonts w:ascii="Cambria Math" w:hAnsi="Cambria Math" w:cs="Cambria Math"/>
        </w:rPr>
        <w:t>‑</w:t>
      </w:r>
      <w:r w:rsidRPr="002B4608">
        <w:t xml:space="preserve">Füllmengen und einer sicherheitstechnisch optimierten Gerätekonstruktion können die Geräte weltweit eingesetzt werden, ohne dass zusätzliche Sicherheitsmaßnahmen notwendig sind. </w:t>
      </w:r>
      <w:r w:rsidRPr="002B4608">
        <w:lastRenderedPageBreak/>
        <w:t xml:space="preserve">Die entsprechenden Zertifikate können auf der Rittal </w:t>
      </w:r>
      <w:r w:rsidRPr="00BA30D7">
        <w:t xml:space="preserve">Webseite </w:t>
      </w:r>
      <w:r w:rsidR="0019671F" w:rsidRPr="00BA30D7">
        <w:t>(</w:t>
      </w:r>
      <w:hyperlink r:id="rId11" w:history="1">
        <w:r w:rsidR="006D3B04" w:rsidRPr="00BA30D7">
          <w:rPr>
            <w:rStyle w:val="Hyperlink"/>
          </w:rPr>
          <w:t>www.rittal.de</w:t>
        </w:r>
      </w:hyperlink>
      <w:r w:rsidR="006D3B04" w:rsidRPr="00BA30D7">
        <w:t xml:space="preserve">) </w:t>
      </w:r>
      <w:r w:rsidRPr="00BA30D7">
        <w:t>heruntergeladen werden.</w:t>
      </w:r>
      <w:r w:rsidR="00072B7C">
        <w:t xml:space="preserve"> </w:t>
      </w:r>
    </w:p>
    <w:p w14:paraId="2209AE74" w14:textId="77777777" w:rsidR="00381D89" w:rsidRDefault="00381D89" w:rsidP="002B4608">
      <w:pPr>
        <w:pStyle w:val="Copytext"/>
      </w:pPr>
    </w:p>
    <w:p w14:paraId="0E9B76D3" w14:textId="01104506" w:rsidR="002B4608" w:rsidRPr="002B4608" w:rsidRDefault="002B4608" w:rsidP="002B4608">
      <w:pPr>
        <w:pStyle w:val="Copytext"/>
      </w:pPr>
      <w:r w:rsidRPr="002B4608">
        <w:t xml:space="preserve">Rittal bietet seinen Kunden ein komplettes, zukunftsfähiges Portfolio, das alle Anwendungen abdeckt. Die </w:t>
      </w:r>
      <w:r w:rsidR="00E73717">
        <w:t xml:space="preserve">Kühlgeräte- und </w:t>
      </w:r>
      <w:proofErr w:type="spellStart"/>
      <w:r w:rsidR="00E73717">
        <w:t>Chiller</w:t>
      </w:r>
      <w:proofErr w:type="spellEnd"/>
      <w:r w:rsidR="00E73717">
        <w:t>-</w:t>
      </w:r>
      <w:r w:rsidRPr="002B4608">
        <w:t>Technologie liefert eine nachhaltige, energieeffiziente und langfristig tragfähige Lösung – weit über eine bloße Übergangstechnik hinaus.</w:t>
      </w:r>
      <w:r w:rsidR="00976A4F">
        <w:t xml:space="preserve"> </w:t>
      </w:r>
      <w:r w:rsidRPr="002B4608">
        <w:t>Für spezielle Fälle, in denen der Betreiber in seiner Anwendung ein nicht akzeptables Risiko dokumentiert, stehen weiterhin Geräte mit dem Kältemittel R</w:t>
      </w:r>
      <w:r w:rsidR="00904A81">
        <w:t>-</w:t>
      </w:r>
      <w:r w:rsidRPr="002B4608">
        <w:t>513A (GWP 631) zur Verfügung.</w:t>
      </w:r>
    </w:p>
    <w:p w14:paraId="7A4AB1EC" w14:textId="42E6B36E" w:rsidR="00B52976" w:rsidRPr="008F5489" w:rsidRDefault="00B52976" w:rsidP="00D80B69">
      <w:pPr>
        <w:pStyle w:val="Copytext"/>
      </w:pPr>
    </w:p>
    <w:tbl>
      <w:tblPr>
        <w:tblW w:w="7653" w:type="dxa"/>
        <w:tblInd w:w="-28" w:type="dxa"/>
        <w:tblCellMar>
          <w:left w:w="0" w:type="dxa"/>
          <w:right w:w="28" w:type="dxa"/>
        </w:tblCellMar>
        <w:tblLook w:val="04A0" w:firstRow="1" w:lastRow="0" w:firstColumn="1" w:lastColumn="0" w:noHBand="0" w:noVBand="1"/>
      </w:tblPr>
      <w:tblGrid>
        <w:gridCol w:w="3685"/>
        <w:gridCol w:w="283"/>
        <w:gridCol w:w="3685"/>
      </w:tblGrid>
      <w:tr w:rsidR="00C933FC" w:rsidRPr="00D2409E" w14:paraId="7DCE8617" w14:textId="77777777" w:rsidTr="00080930">
        <w:trPr>
          <w:trHeight w:hRule="exact" w:val="2494"/>
        </w:trPr>
        <w:tc>
          <w:tcPr>
            <w:tcW w:w="3685" w:type="dxa"/>
            <w:tcMar>
              <w:left w:w="0" w:type="dxa"/>
              <w:right w:w="0" w:type="dxa"/>
            </w:tcMar>
            <w:vAlign w:val="bottom"/>
          </w:tcPr>
          <w:p w14:paraId="5AA025F9" w14:textId="34C7F16F" w:rsidR="00C933FC" w:rsidRPr="008F5489" w:rsidRDefault="0010615B" w:rsidP="00D80B69">
            <w:pPr>
              <w:pStyle w:val="Bu-Bildanker"/>
              <w:rPr>
                <w:lang w:val="de-DE"/>
              </w:rPr>
            </w:pPr>
            <w:r w:rsidRPr="0010615B">
              <w:rPr>
                <w:noProof/>
                <w:lang w:val="de-DE"/>
              </w:rPr>
              <w:drawing>
                <wp:anchor distT="0" distB="0" distL="114300" distR="114300" simplePos="0" relativeHeight="251658240" behindDoc="1" locked="0" layoutInCell="1" allowOverlap="1" wp14:anchorId="75860A49" wp14:editId="77013836">
                  <wp:simplePos x="0" y="0"/>
                  <wp:positionH relativeFrom="column">
                    <wp:posOffset>17780</wp:posOffset>
                  </wp:positionH>
                  <wp:positionV relativeFrom="paragraph">
                    <wp:posOffset>-124460</wp:posOffset>
                  </wp:positionV>
                  <wp:extent cx="1924050" cy="1503045"/>
                  <wp:effectExtent l="0" t="0" r="0" b="1905"/>
                  <wp:wrapNone/>
                  <wp:docPr id="24019925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199256" name=""/>
                          <pic:cNvPicPr/>
                        </pic:nvPicPr>
                        <pic:blipFill>
                          <a:blip r:embed="rId12"/>
                          <a:stretch>
                            <a:fillRect/>
                          </a:stretch>
                        </pic:blipFill>
                        <pic:spPr>
                          <a:xfrm>
                            <a:off x="0" y="0"/>
                            <a:ext cx="1924050" cy="1503045"/>
                          </a:xfrm>
                          <a:prstGeom prst="rect">
                            <a:avLst/>
                          </a:prstGeom>
                        </pic:spPr>
                      </pic:pic>
                    </a:graphicData>
                  </a:graphic>
                  <wp14:sizeRelH relativeFrom="margin">
                    <wp14:pctWidth>0</wp14:pctWidth>
                  </wp14:sizeRelH>
                  <wp14:sizeRelV relativeFrom="margin">
                    <wp14:pctHeight>0</wp14:pctHeight>
                  </wp14:sizeRelV>
                </wp:anchor>
              </w:drawing>
            </w:r>
          </w:p>
        </w:tc>
        <w:tc>
          <w:tcPr>
            <w:tcW w:w="283" w:type="dxa"/>
            <w:tcMar>
              <w:left w:w="0" w:type="dxa"/>
              <w:right w:w="0" w:type="dxa"/>
            </w:tcMar>
            <w:vAlign w:val="bottom"/>
          </w:tcPr>
          <w:p w14:paraId="4CDD9AEC" w14:textId="77777777" w:rsidR="00C933FC" w:rsidRPr="008F5489" w:rsidRDefault="00C933FC" w:rsidP="00D80B69">
            <w:pPr>
              <w:pStyle w:val="Bu-Bildanker"/>
              <w:rPr>
                <w:lang w:val="de-DE"/>
              </w:rPr>
            </w:pPr>
          </w:p>
        </w:tc>
        <w:tc>
          <w:tcPr>
            <w:tcW w:w="3685" w:type="dxa"/>
            <w:tcMar>
              <w:left w:w="0" w:type="dxa"/>
              <w:right w:w="0" w:type="dxa"/>
            </w:tcMar>
          </w:tcPr>
          <w:p w14:paraId="6C8D24ED" w14:textId="049C5FBD" w:rsidR="00C933FC" w:rsidRPr="008F5489" w:rsidRDefault="009B53B9" w:rsidP="00D80B69">
            <w:pPr>
              <w:pStyle w:val="Bu-Bildanker"/>
              <w:rPr>
                <w:lang w:val="de-DE"/>
              </w:rPr>
            </w:pPr>
            <w:r>
              <w:rPr>
                <w:lang w:val="de-DE"/>
              </w:rPr>
              <w:br/>
            </w:r>
            <w:r>
              <w:rPr>
                <w:lang w:val="de-DE"/>
              </w:rPr>
              <w:br/>
            </w:r>
            <w:r>
              <w:rPr>
                <w:lang w:val="de-DE"/>
              </w:rPr>
              <w:br/>
            </w:r>
            <w:r>
              <w:rPr>
                <w:lang w:val="de-DE"/>
              </w:rPr>
              <w:br/>
            </w:r>
            <w:r w:rsidR="00A705C0" w:rsidRPr="00A705C0">
              <w:rPr>
                <w:noProof/>
                <w:lang w:val="de-DE"/>
              </w:rPr>
              <w:drawing>
                <wp:anchor distT="0" distB="0" distL="114300" distR="114300" simplePos="0" relativeHeight="251658241" behindDoc="1" locked="0" layoutInCell="1" allowOverlap="1" wp14:anchorId="40AA63DF" wp14:editId="46880708">
                  <wp:simplePos x="0" y="0"/>
                  <wp:positionH relativeFrom="column">
                    <wp:posOffset>15240</wp:posOffset>
                  </wp:positionH>
                  <wp:positionV relativeFrom="paragraph">
                    <wp:posOffset>102870</wp:posOffset>
                  </wp:positionV>
                  <wp:extent cx="1780540" cy="1503045"/>
                  <wp:effectExtent l="0" t="0" r="0" b="1905"/>
                  <wp:wrapTopAndBottom/>
                  <wp:docPr id="86995309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953094" name=""/>
                          <pic:cNvPicPr/>
                        </pic:nvPicPr>
                        <pic:blipFill>
                          <a:blip r:embed="rId13"/>
                          <a:stretch>
                            <a:fillRect/>
                          </a:stretch>
                        </pic:blipFill>
                        <pic:spPr>
                          <a:xfrm>
                            <a:off x="0" y="0"/>
                            <a:ext cx="1780540" cy="1503045"/>
                          </a:xfrm>
                          <a:prstGeom prst="rect">
                            <a:avLst/>
                          </a:prstGeom>
                        </pic:spPr>
                      </pic:pic>
                    </a:graphicData>
                  </a:graphic>
                  <wp14:sizeRelH relativeFrom="margin">
                    <wp14:pctWidth>0</wp14:pctWidth>
                  </wp14:sizeRelH>
                  <wp14:sizeRelV relativeFrom="margin">
                    <wp14:pctHeight>0</wp14:pctHeight>
                  </wp14:sizeRelV>
                </wp:anchor>
              </w:drawing>
            </w:r>
          </w:p>
        </w:tc>
      </w:tr>
      <w:tr w:rsidR="00C933FC" w:rsidRPr="001E046B" w14:paraId="01FA39CF" w14:textId="77777777" w:rsidTr="00080930">
        <w:tc>
          <w:tcPr>
            <w:tcW w:w="3685" w:type="dxa"/>
            <w:tcMar>
              <w:left w:w="0" w:type="dxa"/>
              <w:right w:w="0" w:type="dxa"/>
            </w:tcMar>
          </w:tcPr>
          <w:p w14:paraId="76FB1311" w14:textId="1BCA53A1" w:rsidR="00C933FC" w:rsidRPr="00080930" w:rsidRDefault="008A09E2" w:rsidP="00D80B69">
            <w:pPr>
              <w:pStyle w:val="BU-Head"/>
            </w:pPr>
            <w:r>
              <w:t>Image 1</w:t>
            </w:r>
          </w:p>
          <w:p w14:paraId="191776FA" w14:textId="7630ABDB" w:rsidR="00C933FC" w:rsidRPr="000E6CF9" w:rsidRDefault="00FA6163" w:rsidP="00D80B69">
            <w:pPr>
              <w:pStyle w:val="BU"/>
              <w:rPr>
                <w:spacing w:val="-5"/>
              </w:rPr>
            </w:pPr>
            <w:r w:rsidRPr="00E05B77">
              <w:t xml:space="preserve">Ab dem ersten Quartal 2026 </w:t>
            </w:r>
            <w:r>
              <w:t xml:space="preserve">stellt Rittal </w:t>
            </w:r>
            <w:r w:rsidRPr="00E05B77">
              <w:t>das Blue e+-Kühlgeräteportfolio auf R</w:t>
            </w:r>
            <w:r w:rsidR="00904A81">
              <w:t>-</w:t>
            </w:r>
            <w:r w:rsidRPr="00E05B77">
              <w:t xml:space="preserve">1234yf um, im zweiten Quartal folgen die </w:t>
            </w:r>
            <w:proofErr w:type="spellStart"/>
            <w:r w:rsidRPr="00E05B77">
              <w:t>Chiller</w:t>
            </w:r>
            <w:proofErr w:type="spellEnd"/>
            <w:r w:rsidRPr="00E05B77">
              <w:t xml:space="preserve"> der Blue e+-Baureihe.</w:t>
            </w:r>
          </w:p>
        </w:tc>
        <w:tc>
          <w:tcPr>
            <w:tcW w:w="283" w:type="dxa"/>
            <w:tcMar>
              <w:left w:w="0" w:type="dxa"/>
              <w:right w:w="0" w:type="dxa"/>
            </w:tcMar>
          </w:tcPr>
          <w:p w14:paraId="343C1BC7" w14:textId="77777777" w:rsidR="00C933FC" w:rsidRPr="000E6CF9" w:rsidRDefault="00C933FC" w:rsidP="00D80B69">
            <w:pPr>
              <w:pStyle w:val="Copytext"/>
            </w:pPr>
          </w:p>
        </w:tc>
        <w:tc>
          <w:tcPr>
            <w:tcW w:w="3685" w:type="dxa"/>
            <w:tcMar>
              <w:left w:w="0" w:type="dxa"/>
              <w:right w:w="0" w:type="dxa"/>
            </w:tcMar>
          </w:tcPr>
          <w:p w14:paraId="574EB81E" w14:textId="1C6CDBE4" w:rsidR="00C933FC" w:rsidRPr="000E6CF9" w:rsidRDefault="008A09E2" w:rsidP="00D80B69">
            <w:pPr>
              <w:pStyle w:val="BU"/>
            </w:pPr>
            <w:r>
              <w:rPr>
                <w:b/>
              </w:rPr>
              <w:t>Image 2</w:t>
            </w:r>
            <w:r w:rsidR="00895210">
              <w:rPr>
                <w:b/>
              </w:rPr>
              <w:t xml:space="preserve"> de</w:t>
            </w:r>
            <w:r w:rsidR="00D5008C">
              <w:rPr>
                <w:b/>
              </w:rPr>
              <w:t xml:space="preserve"> </w:t>
            </w:r>
            <w:r w:rsidR="000F35E1">
              <w:rPr>
                <w:b/>
              </w:rPr>
              <w:t>schwarz</w:t>
            </w:r>
            <w:r w:rsidR="00895210">
              <w:rPr>
                <w:b/>
              </w:rPr>
              <w:t xml:space="preserve"> / Image 3 de w</w:t>
            </w:r>
            <w:r w:rsidR="000F35E1">
              <w:rPr>
                <w:b/>
              </w:rPr>
              <w:t>eiß</w:t>
            </w:r>
            <w:r w:rsidR="003A36F1">
              <w:rPr>
                <w:b/>
              </w:rPr>
              <w:br/>
            </w:r>
            <w:r w:rsidR="002004D2" w:rsidRPr="00DA14FF">
              <w:t>Rittal bietet verschiedene Baureihen seiner Kühlgeräte mit de</w:t>
            </w:r>
            <w:r w:rsidR="002004D2">
              <w:t>m neuen</w:t>
            </w:r>
            <w:r w:rsidR="002004D2" w:rsidRPr="00DA14FF">
              <w:t xml:space="preserve"> Kältemittel</w:t>
            </w:r>
            <w:r w:rsidR="002004D2">
              <w:t xml:space="preserve"> R</w:t>
            </w:r>
            <w:r w:rsidR="00904A81">
              <w:t>-</w:t>
            </w:r>
            <w:r w:rsidR="002004D2">
              <w:t>1234yf</w:t>
            </w:r>
            <w:r w:rsidR="002004D2" w:rsidRPr="00DA14FF">
              <w:t xml:space="preserve"> an, so dass Maschinenhersteller in den meisten Fällen ohne weitere Änderungen ihre Produkte zukunftssicher machen können.</w:t>
            </w:r>
          </w:p>
        </w:tc>
      </w:tr>
    </w:tbl>
    <w:p w14:paraId="0C70AA0C" w14:textId="77777777" w:rsidR="00D80B69" w:rsidRPr="000E6CF9" w:rsidRDefault="00D80B69" w:rsidP="00D80B69">
      <w:pPr>
        <w:pStyle w:val="BU"/>
      </w:pPr>
    </w:p>
    <w:p w14:paraId="77887025" w14:textId="266F071D" w:rsidR="00D2409E" w:rsidRPr="004305EE" w:rsidRDefault="00D80B69" w:rsidP="00D80B69">
      <w:pPr>
        <w:pStyle w:val="BU"/>
      </w:pPr>
      <w:r w:rsidRPr="00D80B69">
        <w:t>Abdruck honorarfrei. Bitte geben Sie als Quelle Rittal GmbH &amp; Co. KG an.</w:t>
      </w:r>
    </w:p>
    <w:p w14:paraId="48433341" w14:textId="77777777" w:rsidR="00C40907" w:rsidRPr="004305EE" w:rsidRDefault="00C40907" w:rsidP="00D80B69">
      <w:pPr>
        <w:pStyle w:val="Unternehmensportrait-H2"/>
        <w:rPr>
          <w:sz w:val="20"/>
        </w:rPr>
      </w:pPr>
      <w:r w:rsidRPr="004305EE">
        <w:br w:type="page"/>
      </w:r>
    </w:p>
    <w:p w14:paraId="07620177" w14:textId="77777777" w:rsidR="005743C9" w:rsidRPr="00C707D4" w:rsidRDefault="005743C9" w:rsidP="005743C9">
      <w:pPr>
        <w:pStyle w:val="Unternehmensportrait-H1"/>
      </w:pPr>
      <w:r>
        <w:lastRenderedPageBreak/>
        <w:t>Rittal</w:t>
      </w:r>
    </w:p>
    <w:p w14:paraId="55DEDC7D" w14:textId="77777777" w:rsidR="005743C9" w:rsidRPr="00C707D4" w:rsidRDefault="005743C9" w:rsidP="005743C9">
      <w:pPr>
        <w:pStyle w:val="Unternehmensportrait-Linie"/>
      </w:pPr>
    </w:p>
    <w:p w14:paraId="61BD9255" w14:textId="77777777" w:rsidR="005743C9" w:rsidRDefault="005743C9" w:rsidP="005743C9">
      <w:pPr>
        <w:pStyle w:val="Unternehmensportrait"/>
        <w:jc w:val="left"/>
      </w:pPr>
      <w:r>
        <w:t>Rittal ist ein weltweit führender Anbieter für Schaltschranksysteme, Automatisierung und Infrastruktur mit den Bereichen Industrie, IT, Energy &amp; Power, Cooling und Service. Produkte und Lösungen von Rittal sind</w:t>
      </w:r>
      <w:r>
        <w:rPr>
          <w:spacing w:val="40"/>
        </w:rPr>
        <w:t xml:space="preserve"> </w:t>
      </w:r>
      <w:r>
        <w:t>in über 90 Prozent der Branchen weltweit im Einsatz – standardisiert, kundenindividuell, in bester Qualität.</w:t>
      </w:r>
    </w:p>
    <w:p w14:paraId="40A3A870" w14:textId="77777777" w:rsidR="005743C9" w:rsidRDefault="005743C9" w:rsidP="005743C9">
      <w:pPr>
        <w:pStyle w:val="Unternehmensportrait"/>
        <w:jc w:val="left"/>
      </w:pPr>
    </w:p>
    <w:p w14:paraId="61819731" w14:textId="77777777" w:rsidR="005743C9" w:rsidRDefault="005743C9" w:rsidP="005743C9">
      <w:pPr>
        <w:pStyle w:val="Unternehmensportrait"/>
        <w:jc w:val="left"/>
      </w:pPr>
      <w:r>
        <w:t xml:space="preserve">Unser Ansatz: </w:t>
      </w:r>
      <w:r w:rsidRPr="00493580">
        <w:t xml:space="preserve">Mit der Kombination aus Hardware- und Software-Kompetenzen optimieren, digitalisieren und automatisieren Rittal, Rittal Software Systems (Eplan, Cideon) und Rittal Automation Systems (RAS, Ehrt, </w:t>
      </w:r>
      <w:proofErr w:type="spellStart"/>
      <w:r w:rsidRPr="00493580">
        <w:t>Alfra</w:t>
      </w:r>
      <w:proofErr w:type="spellEnd"/>
      <w:r w:rsidRPr="00493580">
        <w:t>) die Prozesse ihrer Kunden entlang der gesamten Wertschöpfungskette, inklusive IT-Infrastruktur – vom Steuerungs- und Schaltanlagenbau über den Maschinenbau und die fertigende Industrie bis hin zur Energiebranche.</w:t>
      </w:r>
    </w:p>
    <w:p w14:paraId="43923015" w14:textId="77777777" w:rsidR="005743C9" w:rsidRDefault="005743C9" w:rsidP="005743C9">
      <w:pPr>
        <w:pStyle w:val="Unternehmensportrait"/>
        <w:jc w:val="left"/>
      </w:pPr>
    </w:p>
    <w:p w14:paraId="5A4B6414" w14:textId="77777777" w:rsidR="005743C9" w:rsidRDefault="005743C9" w:rsidP="005743C9">
      <w:pPr>
        <w:pStyle w:val="Unternehmensportrait"/>
        <w:jc w:val="left"/>
      </w:pPr>
      <w:r>
        <w:t>Unser Lieferversprechen: Rittal Serienprodukte werden in Deutschland innerhalb von 24, in Europa innerhalb von 48 Stunden geliefert.</w:t>
      </w:r>
    </w:p>
    <w:p w14:paraId="194B33ED" w14:textId="77777777" w:rsidR="005743C9" w:rsidRDefault="005743C9" w:rsidP="005743C9">
      <w:pPr>
        <w:pStyle w:val="Unternehmensportrait-H2"/>
        <w:rPr>
          <w:spacing w:val="-2"/>
        </w:rPr>
      </w:pPr>
      <w:r>
        <w:t>Der</w:t>
      </w:r>
      <w:r>
        <w:rPr>
          <w:spacing w:val="4"/>
        </w:rPr>
        <w:t xml:space="preserve"> </w:t>
      </w:r>
      <w:r>
        <w:t>Kunde</w:t>
      </w:r>
      <w:r>
        <w:rPr>
          <w:spacing w:val="4"/>
        </w:rPr>
        <w:t xml:space="preserve"> </w:t>
      </w:r>
      <w:r>
        <w:t>im</w:t>
      </w:r>
      <w:r>
        <w:rPr>
          <w:spacing w:val="5"/>
        </w:rPr>
        <w:t xml:space="preserve"> </w:t>
      </w:r>
      <w:r>
        <w:rPr>
          <w:spacing w:val="-2"/>
        </w:rPr>
        <w:t>Fokus</w:t>
      </w:r>
    </w:p>
    <w:p w14:paraId="7513CAB5" w14:textId="77777777" w:rsidR="005743C9" w:rsidRDefault="005743C9" w:rsidP="005743C9">
      <w:pPr>
        <w:pStyle w:val="Unternehmensportrait"/>
        <w:jc w:val="left"/>
      </w:pPr>
      <w:r>
        <w:t xml:space="preserve">Die Steigerung von Effizienz und Produktivität über Automatisierung und Digitalisierung ist eine der größten Herausforderungen unserer Kunden. Dafür braucht es tiefgehendes Domänenwissen, die Kombination von </w:t>
      </w:r>
      <w:r>
        <w:rPr>
          <w:spacing w:val="-2"/>
        </w:rPr>
        <w:t>Hardware</w:t>
      </w:r>
      <w:r>
        <w:rPr>
          <w:spacing w:val="-3"/>
        </w:rPr>
        <w:t xml:space="preserve"> </w:t>
      </w:r>
      <w:r>
        <w:rPr>
          <w:spacing w:val="-2"/>
        </w:rPr>
        <w:t>und</w:t>
      </w:r>
      <w:r>
        <w:rPr>
          <w:spacing w:val="-3"/>
        </w:rPr>
        <w:t xml:space="preserve"> </w:t>
      </w:r>
      <w:r>
        <w:rPr>
          <w:spacing w:val="-2"/>
        </w:rPr>
        <w:t>Software</w:t>
      </w:r>
      <w:r>
        <w:rPr>
          <w:spacing w:val="-3"/>
        </w:rPr>
        <w:t xml:space="preserve"> </w:t>
      </w:r>
      <w:r>
        <w:rPr>
          <w:spacing w:val="-2"/>
        </w:rPr>
        <w:t>und</w:t>
      </w:r>
      <w:r>
        <w:rPr>
          <w:spacing w:val="-3"/>
        </w:rPr>
        <w:t xml:space="preserve"> </w:t>
      </w:r>
      <w:r>
        <w:rPr>
          <w:spacing w:val="-2"/>
        </w:rPr>
        <w:t>übergreifende</w:t>
      </w:r>
      <w:r>
        <w:rPr>
          <w:spacing w:val="-3"/>
        </w:rPr>
        <w:t xml:space="preserve"> </w:t>
      </w:r>
      <w:r>
        <w:rPr>
          <w:spacing w:val="-2"/>
        </w:rPr>
        <w:t>Zusammenarbeit.</w:t>
      </w:r>
      <w:r>
        <w:rPr>
          <w:spacing w:val="-3"/>
        </w:rPr>
        <w:t xml:space="preserve"> </w:t>
      </w:r>
      <w:r>
        <w:rPr>
          <w:spacing w:val="-2"/>
        </w:rPr>
        <w:t>Wir</w:t>
      </w:r>
      <w:r>
        <w:rPr>
          <w:spacing w:val="-3"/>
        </w:rPr>
        <w:t xml:space="preserve"> </w:t>
      </w:r>
      <w:r>
        <w:rPr>
          <w:spacing w:val="-2"/>
        </w:rPr>
        <w:t>sind</w:t>
      </w:r>
      <w:r>
        <w:rPr>
          <w:spacing w:val="-3"/>
        </w:rPr>
        <w:t xml:space="preserve"> </w:t>
      </w:r>
      <w:r>
        <w:rPr>
          <w:spacing w:val="-2"/>
        </w:rPr>
        <w:t>überzeugt:</w:t>
      </w:r>
      <w:r>
        <w:rPr>
          <w:spacing w:val="-3"/>
        </w:rPr>
        <w:t xml:space="preserve"> </w:t>
      </w:r>
      <w:r>
        <w:rPr>
          <w:spacing w:val="-2"/>
        </w:rPr>
        <w:t>Datenräume</w:t>
      </w:r>
      <w:r>
        <w:rPr>
          <w:spacing w:val="-3"/>
        </w:rPr>
        <w:t xml:space="preserve"> </w:t>
      </w:r>
      <w:r>
        <w:rPr>
          <w:spacing w:val="-2"/>
        </w:rPr>
        <w:t>zu</w:t>
      </w:r>
      <w:r>
        <w:rPr>
          <w:spacing w:val="-3"/>
        </w:rPr>
        <w:t xml:space="preserve"> </w:t>
      </w:r>
      <w:r>
        <w:rPr>
          <w:spacing w:val="-2"/>
        </w:rPr>
        <w:t>schaffen</w:t>
      </w:r>
      <w:r>
        <w:rPr>
          <w:spacing w:val="-3"/>
        </w:rPr>
        <w:t xml:space="preserve"> </w:t>
      </w:r>
      <w:r>
        <w:rPr>
          <w:spacing w:val="-2"/>
        </w:rPr>
        <w:t xml:space="preserve">und </w:t>
      </w:r>
      <w:r>
        <w:t>zu</w:t>
      </w:r>
      <w:r>
        <w:rPr>
          <w:spacing w:val="-2"/>
        </w:rPr>
        <w:t xml:space="preserve"> </w:t>
      </w:r>
      <w:r>
        <w:t>verbinden</w:t>
      </w:r>
      <w:r>
        <w:rPr>
          <w:spacing w:val="-2"/>
        </w:rPr>
        <w:t xml:space="preserve"> </w:t>
      </w:r>
      <w:r>
        <w:t>ist</w:t>
      </w:r>
      <w:r>
        <w:rPr>
          <w:spacing w:val="-2"/>
        </w:rPr>
        <w:t xml:space="preserve"> </w:t>
      </w:r>
      <w:r>
        <w:t>entscheidend</w:t>
      </w:r>
      <w:r>
        <w:rPr>
          <w:spacing w:val="-2"/>
        </w:rPr>
        <w:t xml:space="preserve"> </w:t>
      </w:r>
      <w:r>
        <w:t>für</w:t>
      </w:r>
      <w:r>
        <w:rPr>
          <w:spacing w:val="-2"/>
        </w:rPr>
        <w:t xml:space="preserve"> </w:t>
      </w:r>
      <w:r>
        <w:t>das</w:t>
      </w:r>
      <w:r>
        <w:rPr>
          <w:spacing w:val="-2"/>
        </w:rPr>
        <w:t xml:space="preserve"> </w:t>
      </w:r>
      <w:r>
        <w:t>Gelingen</w:t>
      </w:r>
      <w:r>
        <w:rPr>
          <w:spacing w:val="-2"/>
        </w:rPr>
        <w:t xml:space="preserve"> </w:t>
      </w:r>
      <w:r>
        <w:t>der</w:t>
      </w:r>
      <w:r>
        <w:rPr>
          <w:spacing w:val="-2"/>
        </w:rPr>
        <w:t xml:space="preserve"> </w:t>
      </w:r>
      <w:r>
        <w:t>industriellen</w:t>
      </w:r>
      <w:r>
        <w:rPr>
          <w:spacing w:val="-2"/>
        </w:rPr>
        <w:t xml:space="preserve"> </w:t>
      </w:r>
      <w:r>
        <w:t>Transformation.</w:t>
      </w:r>
      <w:r>
        <w:rPr>
          <w:spacing w:val="-2"/>
        </w:rPr>
        <w:t xml:space="preserve"> </w:t>
      </w:r>
      <w:r>
        <w:t>Das</w:t>
      </w:r>
      <w:r>
        <w:rPr>
          <w:spacing w:val="-2"/>
        </w:rPr>
        <w:t xml:space="preserve"> </w:t>
      </w:r>
      <w:r>
        <w:t>ist</w:t>
      </w:r>
      <w:r>
        <w:rPr>
          <w:spacing w:val="-2"/>
        </w:rPr>
        <w:t xml:space="preserve"> </w:t>
      </w:r>
      <w:r>
        <w:t>unsere</w:t>
      </w:r>
      <w:r>
        <w:rPr>
          <w:spacing w:val="-2"/>
        </w:rPr>
        <w:t xml:space="preserve"> </w:t>
      </w:r>
      <w:r>
        <w:t>Kompetenz.</w:t>
      </w:r>
    </w:p>
    <w:p w14:paraId="13548A20" w14:textId="77777777" w:rsidR="005743C9" w:rsidRDefault="005743C9" w:rsidP="005743C9">
      <w:pPr>
        <w:pStyle w:val="Unternehmensportrait"/>
        <w:jc w:val="left"/>
      </w:pPr>
    </w:p>
    <w:p w14:paraId="2D43B795" w14:textId="77777777" w:rsidR="005743C9" w:rsidRDefault="005743C9" w:rsidP="005743C9">
      <w:pPr>
        <w:pStyle w:val="Unternehmensportrait"/>
        <w:jc w:val="left"/>
      </w:pPr>
      <w:r>
        <w:t>Eplan und Rittal treiben den Aufbau des Digitalen Zwillings von Maschinen und Anlagen voran und machen die Daten im Betrieb nutzbar. Cideon steigert die Datendurchgängigkeit rund um den digitalen Produktzwilling</w:t>
      </w:r>
      <w:r>
        <w:rPr>
          <w:spacing w:val="27"/>
        </w:rPr>
        <w:t xml:space="preserve"> </w:t>
      </w:r>
      <w:r>
        <w:t>mit</w:t>
      </w:r>
      <w:r>
        <w:rPr>
          <w:spacing w:val="27"/>
        </w:rPr>
        <w:t xml:space="preserve"> </w:t>
      </w:r>
      <w:r>
        <w:t>Expertise</w:t>
      </w:r>
      <w:r>
        <w:rPr>
          <w:spacing w:val="27"/>
        </w:rPr>
        <w:t xml:space="preserve"> </w:t>
      </w:r>
      <w:r>
        <w:t>in</w:t>
      </w:r>
      <w:r>
        <w:rPr>
          <w:spacing w:val="27"/>
        </w:rPr>
        <w:t xml:space="preserve"> </w:t>
      </w:r>
      <w:r>
        <w:t>CAD/CAM,</w:t>
      </w:r>
      <w:r>
        <w:rPr>
          <w:spacing w:val="27"/>
        </w:rPr>
        <w:t xml:space="preserve"> </w:t>
      </w:r>
      <w:r>
        <w:t>PDM/PLM</w:t>
      </w:r>
      <w:r>
        <w:rPr>
          <w:spacing w:val="27"/>
        </w:rPr>
        <w:t xml:space="preserve"> </w:t>
      </w:r>
      <w:r>
        <w:t>und</w:t>
      </w:r>
      <w:r>
        <w:rPr>
          <w:spacing w:val="27"/>
        </w:rPr>
        <w:t xml:space="preserve"> </w:t>
      </w:r>
      <w:r>
        <w:t>Produktkonfiguration.</w:t>
      </w:r>
    </w:p>
    <w:p w14:paraId="19E68D52" w14:textId="77777777" w:rsidR="005743C9" w:rsidRDefault="005743C9" w:rsidP="005743C9">
      <w:pPr>
        <w:pStyle w:val="Unternehmensportrait-H2"/>
      </w:pPr>
      <w:r>
        <w:t>Nachhaltigkeit</w:t>
      </w:r>
    </w:p>
    <w:p w14:paraId="3CC8537D" w14:textId="77777777" w:rsidR="005743C9" w:rsidRDefault="005743C9" w:rsidP="005743C9">
      <w:pPr>
        <w:pStyle w:val="Unternehmensportrait"/>
        <w:jc w:val="left"/>
      </w:pPr>
      <w:r>
        <w:t>Umwelt- und Klimaschutz, soziales Engagement und ethische Unternehmensführung sind für Rittal selbstverständlich. Wir nehmen unsere Verantwortung für eine nachhaltige Zukunft ernst. Unser Ansatz zur Ressourcenschonung umfasst die Optimierung der eigenen Produktionsprozesse, einen möglichst niedrigen Product Carbon Footprint unserer Produkte sowie Lösungen, die unsere Kunden in der Erreichung ihrer Klimaziele unterstützen.</w:t>
      </w:r>
    </w:p>
    <w:p w14:paraId="6C37ADEF" w14:textId="77777777" w:rsidR="005743C9" w:rsidRDefault="005743C9" w:rsidP="005743C9">
      <w:pPr>
        <w:pStyle w:val="Unternehmensportrait-H2"/>
        <w:rPr>
          <w:spacing w:val="-2"/>
        </w:rPr>
      </w:pPr>
      <w:r>
        <w:t>Familienunternehmen</w:t>
      </w:r>
      <w:r>
        <w:rPr>
          <w:spacing w:val="18"/>
        </w:rPr>
        <w:t xml:space="preserve"> </w:t>
      </w:r>
      <w:r>
        <w:t>und</w:t>
      </w:r>
      <w:r>
        <w:rPr>
          <w:spacing w:val="18"/>
        </w:rPr>
        <w:t xml:space="preserve"> </w:t>
      </w:r>
      <w:r>
        <w:t>Global</w:t>
      </w:r>
      <w:r>
        <w:rPr>
          <w:spacing w:val="18"/>
        </w:rPr>
        <w:t xml:space="preserve"> </w:t>
      </w:r>
      <w:r>
        <w:rPr>
          <w:spacing w:val="-2"/>
        </w:rPr>
        <w:t>Player</w:t>
      </w:r>
    </w:p>
    <w:p w14:paraId="2F18ADA0" w14:textId="77777777" w:rsidR="005743C9" w:rsidRPr="009F05D2" w:rsidRDefault="005743C9" w:rsidP="005743C9">
      <w:pPr>
        <w:pStyle w:val="Unternehmensportrait"/>
        <w:jc w:val="left"/>
      </w:pPr>
      <w:r>
        <w:t xml:space="preserve">Rittal wurde im Jahr 1961 gegründet und ist das größte Unternehmen der inhabergeführten Friedhelm Loh Group. Die Unternehmensgruppe ist mit 13 Produktionsstätten und 95 Tochtergesellschaften international erfolgreich. Das Familienunternehmen beschäftigt 12.600 Mitarbeiter und erzielte im Jahr 2024 einen Umsatz von 3,1 Milliarden Euro. 2023 wurde die Friedhelm Loh Group als „Best Place </w:t>
      </w:r>
      <w:proofErr w:type="spellStart"/>
      <w:r>
        <w:t>to</w:t>
      </w:r>
      <w:proofErr w:type="spellEnd"/>
      <w:r>
        <w:t xml:space="preserve"> </w:t>
      </w:r>
      <w:proofErr w:type="spellStart"/>
      <w:r>
        <w:t>Learn</w:t>
      </w:r>
      <w:proofErr w:type="spellEnd"/>
      <w:r>
        <w:t>“ und „Arbeitgeber der Zukunft“ ausgezeichnet. Rittal erhielt 2026 zum fünften Mal in Folge das Top 100-Siegel als eines der innovativsten mittelständischen Unternehmen in Deutschland.</w:t>
      </w:r>
      <w:r w:rsidRPr="00D15F41">
        <w:t xml:space="preserve"> </w:t>
      </w:r>
      <w:r w:rsidRPr="009F05D2">
        <w:t>Das Rittal Werk Haiger erzielte 2025 den Gesamtsieg im Benchmark-Wettbewerb „Fabrik des Jahres“ und gehört damit zu den besten Fabriken in Europa.</w:t>
      </w:r>
    </w:p>
    <w:p w14:paraId="60C99A15" w14:textId="77777777" w:rsidR="005743C9" w:rsidRDefault="005743C9" w:rsidP="005743C9">
      <w:pPr>
        <w:pStyle w:val="Unternehmensportrait"/>
        <w:jc w:val="left"/>
      </w:pPr>
    </w:p>
    <w:p w14:paraId="3128F1FE" w14:textId="77777777" w:rsidR="005743C9" w:rsidRDefault="005743C9" w:rsidP="005743C9">
      <w:pPr>
        <w:pStyle w:val="Unternehmensportrait"/>
        <w:jc w:val="left"/>
        <w:rPr>
          <w:spacing w:val="-2"/>
        </w:rPr>
      </w:pPr>
      <w:r>
        <w:t>Weitere</w:t>
      </w:r>
      <w:r>
        <w:rPr>
          <w:spacing w:val="16"/>
        </w:rPr>
        <w:t xml:space="preserve"> </w:t>
      </w:r>
      <w:r>
        <w:t>Informationen</w:t>
      </w:r>
      <w:r>
        <w:rPr>
          <w:spacing w:val="19"/>
        </w:rPr>
        <w:t xml:space="preserve"> </w:t>
      </w:r>
      <w:r>
        <w:t>finden</w:t>
      </w:r>
      <w:r>
        <w:rPr>
          <w:spacing w:val="18"/>
        </w:rPr>
        <w:t xml:space="preserve"> </w:t>
      </w:r>
      <w:r>
        <w:t>Sie</w:t>
      </w:r>
      <w:r>
        <w:rPr>
          <w:spacing w:val="19"/>
        </w:rPr>
        <w:t xml:space="preserve"> </w:t>
      </w:r>
      <w:r>
        <w:t>unter</w:t>
      </w:r>
      <w:r>
        <w:rPr>
          <w:spacing w:val="18"/>
        </w:rPr>
        <w:t xml:space="preserve"> </w:t>
      </w:r>
      <w:r>
        <w:t>www.rittal.de</w:t>
      </w:r>
      <w:r>
        <w:rPr>
          <w:spacing w:val="19"/>
        </w:rPr>
        <w:t xml:space="preserve"> </w:t>
      </w:r>
      <w:r>
        <w:t>und</w:t>
      </w:r>
      <w:r>
        <w:rPr>
          <w:spacing w:val="19"/>
        </w:rPr>
        <w:t xml:space="preserve"> </w:t>
      </w:r>
      <w:r>
        <w:t>www.friedhelm-loh-</w:t>
      </w:r>
      <w:r>
        <w:rPr>
          <w:spacing w:val="-2"/>
        </w:rPr>
        <w:t>group.de.</w:t>
      </w:r>
    </w:p>
    <w:p w14:paraId="0AD8795D" w14:textId="77777777" w:rsidR="005743C9" w:rsidRPr="00DA78A6" w:rsidRDefault="005743C9" w:rsidP="005743C9">
      <w:pPr>
        <w:pStyle w:val="Unternehmensportrait-Linie"/>
      </w:pPr>
    </w:p>
    <w:p w14:paraId="2DB4A154" w14:textId="77777777" w:rsidR="005743C9" w:rsidRDefault="005743C9" w:rsidP="005743C9">
      <w:pPr>
        <w:pStyle w:val="Unternehmenkommunikation"/>
        <w:jc w:val="left"/>
      </w:pPr>
    </w:p>
    <w:p w14:paraId="059DE45E" w14:textId="77777777" w:rsidR="005743C9" w:rsidRPr="00DE6DF1" w:rsidRDefault="005743C9" w:rsidP="005743C9">
      <w:pPr>
        <w:pStyle w:val="Unternehmenkommunikation"/>
        <w:jc w:val="left"/>
      </w:pPr>
      <w:r w:rsidRPr="00DE6DF1">
        <w:t>Corporate &amp; Brand Communications</w:t>
      </w:r>
    </w:p>
    <w:p w14:paraId="154E9D41" w14:textId="77777777" w:rsidR="005743C9" w:rsidRPr="00DE6DF1" w:rsidRDefault="005743C9" w:rsidP="005743C9">
      <w:pPr>
        <w:pStyle w:val="Unternehmenkommunikation"/>
        <w:jc w:val="left"/>
      </w:pPr>
    </w:p>
    <w:p w14:paraId="03F37573" w14:textId="77777777" w:rsidR="005743C9" w:rsidRDefault="005743C9" w:rsidP="005743C9">
      <w:pPr>
        <w:pStyle w:val="Unternehmenkommunikation"/>
        <w:jc w:val="left"/>
      </w:pPr>
      <w:r w:rsidRPr="003B294B">
        <w:t>Cornelia Müller</w:t>
      </w:r>
      <w:r>
        <w:t xml:space="preserve">                            </w:t>
      </w:r>
      <w:r w:rsidRPr="003B294B">
        <w:t>Hans R</w:t>
      </w:r>
      <w:r>
        <w:t>obert Koch               Steffen Maltzan</w:t>
      </w:r>
    </w:p>
    <w:p w14:paraId="2DED5E0C" w14:textId="77777777" w:rsidR="005743C9" w:rsidRPr="00DE6DF1" w:rsidRDefault="005743C9" w:rsidP="005743C9">
      <w:pPr>
        <w:pStyle w:val="Unternehmenkommunikation"/>
        <w:jc w:val="left"/>
      </w:pPr>
      <w:r w:rsidRPr="00DE6DF1">
        <w:t>Tel. +49 2772 505-2527              Tel. +49 2772 505-2693      Tel. +49 2772 505-2680</w:t>
      </w:r>
    </w:p>
    <w:p w14:paraId="063DBEB7" w14:textId="77777777" w:rsidR="005743C9" w:rsidRDefault="005743C9" w:rsidP="005743C9">
      <w:pPr>
        <w:pStyle w:val="Unternehmenkommunikation"/>
        <w:jc w:val="left"/>
      </w:pPr>
      <w:r w:rsidRPr="00DE6DF1">
        <w:t xml:space="preserve">E-Mail: </w:t>
      </w:r>
      <w:hyperlink r:id="rId14" w:history="1">
        <w:r w:rsidRPr="00DE6DF1">
          <w:rPr>
            <w:rStyle w:val="Hyperlink"/>
          </w:rPr>
          <w:t>mueller.co@rittal.de</w:t>
        </w:r>
      </w:hyperlink>
      <w:r w:rsidRPr="00DE6DF1">
        <w:t xml:space="preserve">        Mail: </w:t>
      </w:r>
      <w:hyperlink r:id="rId15" w:history="1">
        <w:r w:rsidRPr="00DE6DF1">
          <w:rPr>
            <w:rStyle w:val="Hyperlink"/>
          </w:rPr>
          <w:t>koch.hr@rittal.de</w:t>
        </w:r>
      </w:hyperlink>
      <w:r w:rsidRPr="00DE6DF1">
        <w:t xml:space="preserve">         Mail: </w:t>
      </w:r>
      <w:hyperlink r:id="rId16" w:history="1">
        <w:r w:rsidRPr="00DE6DF1">
          <w:rPr>
            <w:rStyle w:val="Hyperlink"/>
          </w:rPr>
          <w:t>maltzan.s@rittal.de</w:t>
        </w:r>
      </w:hyperlink>
    </w:p>
    <w:p w14:paraId="09CA297B" w14:textId="77777777" w:rsidR="005743C9" w:rsidRDefault="005743C9" w:rsidP="005743C9">
      <w:pPr>
        <w:pStyle w:val="Unternehmenkommunikation"/>
        <w:jc w:val="left"/>
      </w:pPr>
    </w:p>
    <w:p w14:paraId="39763639" w14:textId="02801FBE" w:rsidR="00A73C13" w:rsidRDefault="005743C9" w:rsidP="005743C9">
      <w:pPr>
        <w:pStyle w:val="Unternehmenkommunikation"/>
        <w:jc w:val="left"/>
      </w:pPr>
      <w:r w:rsidRPr="00486FA5">
        <w:t>Rittal GmbH &amp; Co. KG, Auf dem Stützelberg, 35745 Herborn</w:t>
      </w:r>
    </w:p>
    <w:sectPr w:rsidR="00A73C13" w:rsidSect="002016FD">
      <w:headerReference w:type="default" r:id="rId17"/>
      <w:footerReference w:type="default" r:id="rId18"/>
      <w:type w:val="continuous"/>
      <w:pgSz w:w="11907" w:h="16840" w:code="9"/>
      <w:pgMar w:top="2948" w:right="822" w:bottom="2381" w:left="1361" w:header="885" w:footer="136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0A8E1" w14:textId="77777777" w:rsidR="005E4D79" w:rsidRDefault="005E4D79" w:rsidP="00C437B6">
      <w:r>
        <w:separator/>
      </w:r>
    </w:p>
  </w:endnote>
  <w:endnote w:type="continuationSeparator" w:id="0">
    <w:p w14:paraId="0E1D15FE" w14:textId="77777777" w:rsidR="005E4D79" w:rsidRDefault="005E4D79" w:rsidP="00C437B6">
      <w:r>
        <w:continuationSeparator/>
      </w:r>
    </w:p>
  </w:endnote>
  <w:endnote w:type="continuationNotice" w:id="1">
    <w:p w14:paraId="3F7B190F" w14:textId="77777777" w:rsidR="005E4D79" w:rsidRDefault="005E4D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B567F" w14:textId="77777777" w:rsidR="00202595" w:rsidRDefault="006270D1">
    <w:pPr>
      <w:pStyle w:val="Fuzeile"/>
    </w:pPr>
    <w:r w:rsidRPr="006270D1">
      <w:rPr>
        <w:noProof/>
      </w:rPr>
      <w:drawing>
        <wp:anchor distT="0" distB="0" distL="0" distR="0" simplePos="0" relativeHeight="251658241" behindDoc="0" locked="0" layoutInCell="1" allowOverlap="0" wp14:anchorId="370ED1DB" wp14:editId="4E95934D">
          <wp:simplePos x="0" y="0"/>
          <wp:positionH relativeFrom="margin">
            <wp:posOffset>-970691</wp:posOffset>
          </wp:positionH>
          <wp:positionV relativeFrom="topMargin">
            <wp:posOffset>9789459</wp:posOffset>
          </wp:positionV>
          <wp:extent cx="7771280" cy="582706"/>
          <wp:effectExtent l="19050" t="0" r="0" b="0"/>
          <wp:wrapThrough wrapText="bothSides">
            <wp:wrapPolygon edited="0">
              <wp:start x="-53" y="0"/>
              <wp:lineTo x="-53" y="21214"/>
              <wp:lineTo x="21595" y="21214"/>
              <wp:lineTo x="21595" y="0"/>
              <wp:lineTo x="-53" y="0"/>
            </wp:wrapPolygon>
          </wp:wrapThrough>
          <wp:docPr id="29" name="Grafik 6" descr="R_Stationery_BGw_GER_4c_FLG.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_Stationery_BGw_GER_4c_FLG.wmf"/>
                  <pic:cNvPicPr/>
                </pic:nvPicPr>
                <pic:blipFill>
                  <a:blip r:embed="rId1"/>
                  <a:stretch>
                    <a:fillRect/>
                  </a:stretch>
                </pic:blipFill>
                <pic:spPr>
                  <a:xfrm>
                    <a:off x="0" y="0"/>
                    <a:ext cx="7773670" cy="58166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A9E0F" w14:textId="77777777" w:rsidR="005E4D79" w:rsidRDefault="005E4D79" w:rsidP="00C437B6">
      <w:r>
        <w:separator/>
      </w:r>
    </w:p>
  </w:footnote>
  <w:footnote w:type="continuationSeparator" w:id="0">
    <w:p w14:paraId="6BEBF28D" w14:textId="77777777" w:rsidR="005E4D79" w:rsidRDefault="005E4D79" w:rsidP="00C437B6">
      <w:r>
        <w:continuationSeparator/>
      </w:r>
    </w:p>
  </w:footnote>
  <w:footnote w:type="continuationNotice" w:id="1">
    <w:p w14:paraId="031D88BB" w14:textId="77777777" w:rsidR="005E4D79" w:rsidRDefault="005E4D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AFF3A" w14:textId="20F50077" w:rsidR="00202595" w:rsidRDefault="00B22322">
    <w:pPr>
      <w:kinsoku w:val="0"/>
      <w:overflowPunct w:val="0"/>
      <w:spacing w:line="14" w:lineRule="auto"/>
      <w:rPr>
        <w:rFonts w:ascii="Times New Roman" w:hAnsi="Times New Roman" w:cs="Times New Roman"/>
        <w:sz w:val="20"/>
        <w:szCs w:val="20"/>
      </w:rPr>
    </w:pPr>
    <w:r w:rsidRPr="004D22DE">
      <w:rPr>
        <w:bCs/>
        <w:noProof/>
      </w:rPr>
      <mc:AlternateContent>
        <mc:Choice Requires="wps">
          <w:drawing>
            <wp:anchor distT="0" distB="0" distL="114300" distR="114300" simplePos="0" relativeHeight="251658243" behindDoc="0" locked="0" layoutInCell="1" allowOverlap="1" wp14:anchorId="721F961E" wp14:editId="0119045B">
              <wp:simplePos x="0" y="0"/>
              <wp:positionH relativeFrom="margin">
                <wp:align>left</wp:align>
              </wp:positionH>
              <wp:positionV relativeFrom="paragraph">
                <wp:posOffset>412778</wp:posOffset>
              </wp:positionV>
              <wp:extent cx="3904091" cy="409651"/>
              <wp:effectExtent l="0" t="0" r="20320" b="28575"/>
              <wp:wrapNone/>
              <wp:docPr id="4" name="Textfeld 4"/>
              <wp:cNvGraphicFramePr/>
              <a:graphic xmlns:a="http://schemas.openxmlformats.org/drawingml/2006/main">
                <a:graphicData uri="http://schemas.microsoft.com/office/word/2010/wordprocessingShape">
                  <wps:wsp>
                    <wps:cNvSpPr txBox="1"/>
                    <wps:spPr>
                      <a:xfrm>
                        <a:off x="0" y="0"/>
                        <a:ext cx="3904091" cy="409651"/>
                      </a:xfrm>
                      <a:prstGeom prst="rect">
                        <a:avLst/>
                      </a:prstGeom>
                      <a:solidFill>
                        <a:sysClr val="window" lastClr="FFFFFF"/>
                      </a:solidFill>
                      <a:ln w="6350">
                        <a:solidFill>
                          <a:prstClr val="black"/>
                        </a:solidFill>
                      </a:ln>
                    </wps:spPr>
                    <wps:txbx>
                      <w:txbxContent>
                        <w:p w14:paraId="72D98939" w14:textId="77777777" w:rsidR="00B22322" w:rsidRPr="004B442E" w:rsidRDefault="00B22322" w:rsidP="00B22322">
                          <w:pPr>
                            <w:rPr>
                              <w:lang w:val="en-US"/>
                            </w:rPr>
                          </w:pPr>
                          <w:r>
                            <w:t xml:space="preserve">Rittal und Eplan auf der Hannover Messe </w:t>
                          </w:r>
                          <w:r>
                            <w:br/>
                            <w:t xml:space="preserve">vom 20. bis 24. </w:t>
                          </w:r>
                          <w:r w:rsidRPr="004B442E">
                            <w:rPr>
                              <w:lang w:val="en-US"/>
                            </w:rPr>
                            <w:t>April 2026, Halle 27, Stand D50</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721F961E" id="_x0000_t202" coordsize="21600,21600" o:spt="202" path="m,l,21600r21600,l21600,xe">
              <v:stroke joinstyle="miter"/>
              <v:path gradientshapeok="t" o:connecttype="rect"/>
            </v:shapetype>
            <v:shape id="Textfeld 4" o:spid="_x0000_s1026" type="#_x0000_t202" style="position:absolute;margin-left:0;margin-top:32.5pt;width:307.4pt;height:32.25pt;z-index:2516608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" fillcolor="window" strokeweight=".5pt">
              <v:textbox>
                <w:txbxContent>
                  <w:p w14:paraId="72D98939" w14:textId="77777777" w:rsidR="00B22322" w:rsidRPr="004B442E" w:rsidRDefault="00B22322" w:rsidP="00B22322">
                    <w:pPr>
                      <w:rPr>
                        <w:lang w:val="en-US"/>
                      </w:rPr>
                    </w:pPr>
                    <w:r>
                      <w:t xml:space="preserve">Rittal und Eplan auf der Hannover Messe </w:t>
                    </w:r>
                    <w:r>
                      <w:br/>
                      <w:t xml:space="preserve">vom 20. bis 24. </w:t>
                    </w:r>
                    <w:r w:rsidRPr="004B442E">
                      <w:rPr>
                        <w:lang w:val="en-US"/>
                      </w:rPr>
                      <w:t>April 2026, Halle 27, Stand D50</w:t>
                    </w:r>
                  </w:p>
                </w:txbxContent>
              </v:textbox>
              <w10:wrap anchorx="margin"/>
            </v:shape>
          </w:pict>
        </mc:Fallback>
      </mc:AlternateContent>
    </w:r>
    <w:r w:rsidR="0011102D" w:rsidRPr="0011102D">
      <w:rPr>
        <w:rFonts w:ascii="Times New Roman" w:hAnsi="Times New Roman" w:cs="Times New Roman"/>
        <w:noProof/>
        <w:sz w:val="20"/>
        <w:szCs w:val="20"/>
      </w:rPr>
      <w:drawing>
        <wp:anchor distT="0" distB="0" distL="114300" distR="114300" simplePos="0" relativeHeight="251658240" behindDoc="1" locked="0" layoutInCell="1" allowOverlap="1" wp14:anchorId="4C9886F2" wp14:editId="127DD8DE">
          <wp:simplePos x="0" y="0"/>
          <wp:positionH relativeFrom="page">
            <wp:posOffset>6409055</wp:posOffset>
          </wp:positionH>
          <wp:positionV relativeFrom="page">
            <wp:posOffset>507365</wp:posOffset>
          </wp:positionV>
          <wp:extent cx="635000" cy="914400"/>
          <wp:effectExtent l="19050" t="0" r="0" b="0"/>
          <wp:wrapThrough wrapText="bothSides">
            <wp:wrapPolygon edited="0">
              <wp:start x="-648" y="0"/>
              <wp:lineTo x="-648" y="21150"/>
              <wp:lineTo x="21384" y="21150"/>
              <wp:lineTo x="21384" y="0"/>
              <wp:lineTo x="-648" y="0"/>
            </wp:wrapPolygon>
          </wp:wrapThrough>
          <wp:docPr id="111"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2"/>
                  <pic:cNvPicPr>
                    <a:picLocks noChangeAspect="1" noChangeArrowheads="1"/>
                  </pic:cNvPicPr>
                </pic:nvPicPr>
                <pic:blipFill>
                  <a:blip r:embed="rId1"/>
                  <a:srcRect/>
                  <a:stretch>
                    <a:fillRect/>
                  </a:stretch>
                </pic:blipFill>
                <pic:spPr bwMode="auto">
                  <a:xfrm>
                    <a:off x="0" y="0"/>
                    <a:ext cx="635000" cy="914400"/>
                  </a:xfrm>
                  <a:prstGeom prst="rect">
                    <a:avLst/>
                  </a:prstGeom>
                  <a:noFill/>
                  <a:ln w="9525">
                    <a:noFill/>
                    <a:miter lim="800000"/>
                    <a:headEnd/>
                    <a:tailEnd/>
                  </a:ln>
                </pic:spPr>
              </pic:pic>
            </a:graphicData>
          </a:graphic>
        </wp:anchor>
      </w:drawing>
    </w:r>
    <w:r w:rsidR="0066797C">
      <w:rPr>
        <w:noProof/>
        <w:sz w:val="16"/>
        <w:szCs w:val="16"/>
      </w:rPr>
      <mc:AlternateContent>
        <mc:Choice Requires="wps">
          <w:drawing>
            <wp:anchor distT="0" distB="0" distL="114300" distR="114300" simplePos="0" relativeHeight="251658242" behindDoc="1" locked="0" layoutInCell="0" allowOverlap="1" wp14:anchorId="00F58628" wp14:editId="567696B1">
              <wp:simplePos x="0" y="0"/>
              <wp:positionH relativeFrom="page">
                <wp:posOffset>864235</wp:posOffset>
              </wp:positionH>
              <wp:positionV relativeFrom="page">
                <wp:posOffset>449580</wp:posOffset>
              </wp:positionV>
              <wp:extent cx="1485900" cy="351790"/>
              <wp:effectExtent l="0" t="1905" r="2540" b="0"/>
              <wp:wrapNone/>
              <wp:docPr id="1716192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51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40DB85" w14:textId="77777777" w:rsidR="00202595" w:rsidRPr="00E46942" w:rsidRDefault="00202595" w:rsidP="00E46942">
                          <w:pPr>
                            <w:kinsoku w:val="0"/>
                            <w:overflowPunct w:val="0"/>
                            <w:spacing w:before="5"/>
                            <w:ind w:left="23"/>
                            <w:rPr>
                              <w:color w:val="231F20"/>
                              <w:spacing w:val="10"/>
                              <w:sz w:val="46"/>
                              <w:szCs w:val="46"/>
                            </w:rPr>
                          </w:pPr>
                          <w:r w:rsidRPr="00E46942">
                            <w:rPr>
                              <w:color w:val="231F20"/>
                              <w:spacing w:val="10"/>
                              <w:sz w:val="46"/>
                              <w:szCs w:val="46"/>
                            </w:rPr>
                            <w:t>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F58628" id="_x0000_t202" coordsize="21600,21600" o:spt="202" path="m,l,21600r21600,l21600,xe">
              <v:stroke joinstyle="miter"/>
              <v:path gradientshapeok="t" o:connecttype="rect"/>
            </v:shapetype>
            <v:shape id="Text Box 1" o:spid="_x0000_s1026" type="#_x0000_t202" style="position:absolute;margin-left:68.05pt;margin-top:35.4pt;width:117pt;height:27.7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" o:allowincell="f" filled="f" stroked="f">
              <v:textbox inset="0,0,0,0">
                <w:txbxContent>
                  <w:p w14:paraId="5B40DB85" w14:textId="77777777" w:rsidR="00202595" w:rsidRPr="00E46942" w:rsidRDefault="00202595" w:rsidP="00E46942">
                    <w:pPr>
                      <w:kinsoku w:val="0"/>
                      <w:overflowPunct w:val="0"/>
                      <w:spacing w:before="5"/>
                      <w:ind w:left="23"/>
                      <w:rPr>
                        <w:color w:val="231F20"/>
                        <w:spacing w:val="10"/>
                        <w:sz w:val="46"/>
                        <w:szCs w:val="46"/>
                      </w:rPr>
                    </w:pPr>
                    <w:r w:rsidRPr="00E46942">
                      <w:rPr>
                        <w:color w:val="231F20"/>
                        <w:spacing w:val="10"/>
                        <w:sz w:val="46"/>
                        <w:szCs w:val="46"/>
                      </w:rPr>
                      <w:t>PRESSE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29A06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4C89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A442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34B9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EEE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6296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3004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E2F4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0A5D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3425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402"/>
    <w:multiLevelType w:val="multilevel"/>
    <w:tmpl w:val="46709AA6"/>
    <w:lvl w:ilvl="0">
      <w:numFmt w:val="bullet"/>
      <w:pStyle w:val="Liste-bullets"/>
      <w:lvlText w:val="•"/>
      <w:lvlJc w:val="left"/>
      <w:pPr>
        <w:ind w:left="470" w:hanging="360"/>
      </w:pPr>
      <w:rPr>
        <w:rFonts w:ascii="Arial" w:hAnsi="Arial" w:cs="Arial"/>
        <w:b w:val="0"/>
        <w:bCs w:val="0"/>
        <w:i w:val="0"/>
        <w:iCs w:val="0"/>
        <w:color w:val="231F20"/>
        <w:spacing w:val="0"/>
        <w:w w:val="100"/>
        <w:sz w:val="20"/>
        <w:szCs w:val="20"/>
      </w:rPr>
    </w:lvl>
    <w:lvl w:ilvl="1">
      <w:numFmt w:val="bullet"/>
      <w:lvlText w:val="•"/>
      <w:lvlJc w:val="left"/>
      <w:pPr>
        <w:ind w:left="1342" w:hanging="360"/>
      </w:pPr>
    </w:lvl>
    <w:lvl w:ilvl="2">
      <w:numFmt w:val="bullet"/>
      <w:lvlText w:val="•"/>
      <w:lvlJc w:val="left"/>
      <w:pPr>
        <w:ind w:left="2205" w:hanging="360"/>
      </w:pPr>
    </w:lvl>
    <w:lvl w:ilvl="3">
      <w:numFmt w:val="bullet"/>
      <w:lvlText w:val="•"/>
      <w:lvlJc w:val="left"/>
      <w:pPr>
        <w:ind w:left="3067" w:hanging="360"/>
      </w:pPr>
    </w:lvl>
    <w:lvl w:ilvl="4">
      <w:numFmt w:val="bullet"/>
      <w:lvlText w:val="•"/>
      <w:lvlJc w:val="left"/>
      <w:pPr>
        <w:ind w:left="3930" w:hanging="360"/>
      </w:pPr>
    </w:lvl>
    <w:lvl w:ilvl="5">
      <w:numFmt w:val="bullet"/>
      <w:lvlText w:val="•"/>
      <w:lvlJc w:val="left"/>
      <w:pPr>
        <w:ind w:left="4792" w:hanging="360"/>
      </w:pPr>
    </w:lvl>
    <w:lvl w:ilvl="6">
      <w:numFmt w:val="bullet"/>
      <w:lvlText w:val="•"/>
      <w:lvlJc w:val="left"/>
      <w:pPr>
        <w:ind w:left="5655" w:hanging="360"/>
      </w:pPr>
    </w:lvl>
    <w:lvl w:ilvl="7">
      <w:numFmt w:val="bullet"/>
      <w:lvlText w:val="•"/>
      <w:lvlJc w:val="left"/>
      <w:pPr>
        <w:ind w:left="6517" w:hanging="360"/>
      </w:pPr>
    </w:lvl>
    <w:lvl w:ilvl="8">
      <w:numFmt w:val="bullet"/>
      <w:lvlText w:val="•"/>
      <w:lvlJc w:val="left"/>
      <w:pPr>
        <w:ind w:left="7380" w:hanging="360"/>
      </w:pPr>
    </w:lvl>
  </w:abstractNum>
  <w:num w:numId="1" w16cid:durableId="726951082">
    <w:abstractNumId w:val="10"/>
  </w:num>
  <w:num w:numId="2" w16cid:durableId="2005426273">
    <w:abstractNumId w:val="9"/>
  </w:num>
  <w:num w:numId="3" w16cid:durableId="1256984404">
    <w:abstractNumId w:val="7"/>
  </w:num>
  <w:num w:numId="4" w16cid:durableId="1265964965">
    <w:abstractNumId w:val="6"/>
  </w:num>
  <w:num w:numId="5" w16cid:durableId="1576281030">
    <w:abstractNumId w:val="5"/>
  </w:num>
  <w:num w:numId="6" w16cid:durableId="745614244">
    <w:abstractNumId w:val="4"/>
  </w:num>
  <w:num w:numId="7" w16cid:durableId="215898273">
    <w:abstractNumId w:val="8"/>
  </w:num>
  <w:num w:numId="8" w16cid:durableId="1673416183">
    <w:abstractNumId w:val="3"/>
  </w:num>
  <w:num w:numId="9" w16cid:durableId="1650481680">
    <w:abstractNumId w:val="2"/>
  </w:num>
  <w:num w:numId="10" w16cid:durableId="1142387273">
    <w:abstractNumId w:val="1"/>
  </w:num>
  <w:num w:numId="11" w16cid:durableId="587083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E6B"/>
    <w:rsid w:val="00001650"/>
    <w:rsid w:val="000050F3"/>
    <w:rsid w:val="00022489"/>
    <w:rsid w:val="00022DB6"/>
    <w:rsid w:val="00024B49"/>
    <w:rsid w:val="00027B50"/>
    <w:rsid w:val="00034685"/>
    <w:rsid w:val="00035988"/>
    <w:rsid w:val="00037FD6"/>
    <w:rsid w:val="00046E2A"/>
    <w:rsid w:val="00047B15"/>
    <w:rsid w:val="00052DD2"/>
    <w:rsid w:val="00072B7C"/>
    <w:rsid w:val="00080930"/>
    <w:rsid w:val="00081974"/>
    <w:rsid w:val="00082F51"/>
    <w:rsid w:val="000874C6"/>
    <w:rsid w:val="000902CE"/>
    <w:rsid w:val="000915FC"/>
    <w:rsid w:val="0009219E"/>
    <w:rsid w:val="000A62FE"/>
    <w:rsid w:val="000C0A0A"/>
    <w:rsid w:val="000D044A"/>
    <w:rsid w:val="000E6CF9"/>
    <w:rsid w:val="000E7A2C"/>
    <w:rsid w:val="000F10C0"/>
    <w:rsid w:val="000F35E1"/>
    <w:rsid w:val="0010615B"/>
    <w:rsid w:val="0011102D"/>
    <w:rsid w:val="00114302"/>
    <w:rsid w:val="00114696"/>
    <w:rsid w:val="00133AAD"/>
    <w:rsid w:val="00140623"/>
    <w:rsid w:val="00145F70"/>
    <w:rsid w:val="001519D2"/>
    <w:rsid w:val="0018219C"/>
    <w:rsid w:val="0019671F"/>
    <w:rsid w:val="001A0CD2"/>
    <w:rsid w:val="001B189F"/>
    <w:rsid w:val="001B7268"/>
    <w:rsid w:val="001D1B0E"/>
    <w:rsid w:val="001D2BC7"/>
    <w:rsid w:val="001D34D1"/>
    <w:rsid w:val="001D3A1B"/>
    <w:rsid w:val="001D555B"/>
    <w:rsid w:val="001D6722"/>
    <w:rsid w:val="001E046B"/>
    <w:rsid w:val="001E12F6"/>
    <w:rsid w:val="001E1BFE"/>
    <w:rsid w:val="001E78D8"/>
    <w:rsid w:val="002004D2"/>
    <w:rsid w:val="002016FD"/>
    <w:rsid w:val="00202595"/>
    <w:rsid w:val="0020621C"/>
    <w:rsid w:val="0023718F"/>
    <w:rsid w:val="00274BBB"/>
    <w:rsid w:val="002A6AF0"/>
    <w:rsid w:val="002B0743"/>
    <w:rsid w:val="002B4608"/>
    <w:rsid w:val="002C00E6"/>
    <w:rsid w:val="002C6615"/>
    <w:rsid w:val="002D2830"/>
    <w:rsid w:val="002D3205"/>
    <w:rsid w:val="002E1F7F"/>
    <w:rsid w:val="0030636B"/>
    <w:rsid w:val="003076F2"/>
    <w:rsid w:val="00310CCD"/>
    <w:rsid w:val="0031514E"/>
    <w:rsid w:val="00315545"/>
    <w:rsid w:val="003344F9"/>
    <w:rsid w:val="00346095"/>
    <w:rsid w:val="00361F39"/>
    <w:rsid w:val="00367B14"/>
    <w:rsid w:val="00381D89"/>
    <w:rsid w:val="00397E80"/>
    <w:rsid w:val="003A36F1"/>
    <w:rsid w:val="003A7EAF"/>
    <w:rsid w:val="003B413C"/>
    <w:rsid w:val="003C1DB0"/>
    <w:rsid w:val="003C464D"/>
    <w:rsid w:val="004208EA"/>
    <w:rsid w:val="00424077"/>
    <w:rsid w:val="0042557E"/>
    <w:rsid w:val="004305EE"/>
    <w:rsid w:val="00431D28"/>
    <w:rsid w:val="00445DA2"/>
    <w:rsid w:val="00454741"/>
    <w:rsid w:val="00455B4F"/>
    <w:rsid w:val="00456F1A"/>
    <w:rsid w:val="004643E3"/>
    <w:rsid w:val="004670EC"/>
    <w:rsid w:val="0048061A"/>
    <w:rsid w:val="004845A9"/>
    <w:rsid w:val="004860F9"/>
    <w:rsid w:val="00486A98"/>
    <w:rsid w:val="00490A97"/>
    <w:rsid w:val="0049199B"/>
    <w:rsid w:val="0049297D"/>
    <w:rsid w:val="00493580"/>
    <w:rsid w:val="004C30CC"/>
    <w:rsid w:val="004D56BD"/>
    <w:rsid w:val="004E26A8"/>
    <w:rsid w:val="004F0BF4"/>
    <w:rsid w:val="004F229F"/>
    <w:rsid w:val="00503880"/>
    <w:rsid w:val="00512F78"/>
    <w:rsid w:val="00513BB5"/>
    <w:rsid w:val="00533EE2"/>
    <w:rsid w:val="005467FA"/>
    <w:rsid w:val="0055018D"/>
    <w:rsid w:val="00556081"/>
    <w:rsid w:val="005743C9"/>
    <w:rsid w:val="0057573C"/>
    <w:rsid w:val="00584C14"/>
    <w:rsid w:val="00597790"/>
    <w:rsid w:val="005A7994"/>
    <w:rsid w:val="005C2081"/>
    <w:rsid w:val="005D33D3"/>
    <w:rsid w:val="005D7486"/>
    <w:rsid w:val="005E4D79"/>
    <w:rsid w:val="005F47D3"/>
    <w:rsid w:val="006049AB"/>
    <w:rsid w:val="00605083"/>
    <w:rsid w:val="00605CE0"/>
    <w:rsid w:val="00613397"/>
    <w:rsid w:val="006270D1"/>
    <w:rsid w:val="006467B0"/>
    <w:rsid w:val="006475CC"/>
    <w:rsid w:val="00650E38"/>
    <w:rsid w:val="00654F16"/>
    <w:rsid w:val="0066797C"/>
    <w:rsid w:val="00681C6A"/>
    <w:rsid w:val="006A0E79"/>
    <w:rsid w:val="006A2213"/>
    <w:rsid w:val="006A43FD"/>
    <w:rsid w:val="006B5D50"/>
    <w:rsid w:val="006C0224"/>
    <w:rsid w:val="006C115F"/>
    <w:rsid w:val="006C2B8D"/>
    <w:rsid w:val="006C686F"/>
    <w:rsid w:val="006C6990"/>
    <w:rsid w:val="006C7EF7"/>
    <w:rsid w:val="006D3B04"/>
    <w:rsid w:val="006D5EAA"/>
    <w:rsid w:val="00701182"/>
    <w:rsid w:val="007242D5"/>
    <w:rsid w:val="007315EA"/>
    <w:rsid w:val="007379AB"/>
    <w:rsid w:val="007568B6"/>
    <w:rsid w:val="00760BC1"/>
    <w:rsid w:val="00781E20"/>
    <w:rsid w:val="007922D3"/>
    <w:rsid w:val="007C2C27"/>
    <w:rsid w:val="007D60A7"/>
    <w:rsid w:val="007D7AE2"/>
    <w:rsid w:val="007E3FDD"/>
    <w:rsid w:val="00800E83"/>
    <w:rsid w:val="00801528"/>
    <w:rsid w:val="00802C23"/>
    <w:rsid w:val="00805E8F"/>
    <w:rsid w:val="00810475"/>
    <w:rsid w:val="00841C13"/>
    <w:rsid w:val="008436BE"/>
    <w:rsid w:val="00847FD6"/>
    <w:rsid w:val="0088261C"/>
    <w:rsid w:val="00886E96"/>
    <w:rsid w:val="00894246"/>
    <w:rsid w:val="00895210"/>
    <w:rsid w:val="00895E52"/>
    <w:rsid w:val="008A099E"/>
    <w:rsid w:val="008A09E2"/>
    <w:rsid w:val="008D24CE"/>
    <w:rsid w:val="008E0771"/>
    <w:rsid w:val="008F5489"/>
    <w:rsid w:val="00904A81"/>
    <w:rsid w:val="00904BFC"/>
    <w:rsid w:val="009058E3"/>
    <w:rsid w:val="00910AB0"/>
    <w:rsid w:val="00915205"/>
    <w:rsid w:val="0093043F"/>
    <w:rsid w:val="00947C4F"/>
    <w:rsid w:val="00960E6A"/>
    <w:rsid w:val="00976A4F"/>
    <w:rsid w:val="00982783"/>
    <w:rsid w:val="009833F2"/>
    <w:rsid w:val="00983EF5"/>
    <w:rsid w:val="009859B7"/>
    <w:rsid w:val="00986983"/>
    <w:rsid w:val="00996B25"/>
    <w:rsid w:val="00996EAE"/>
    <w:rsid w:val="009A0F9D"/>
    <w:rsid w:val="009B53B9"/>
    <w:rsid w:val="009D411D"/>
    <w:rsid w:val="009D709C"/>
    <w:rsid w:val="009E0DC3"/>
    <w:rsid w:val="009E0ED8"/>
    <w:rsid w:val="009E3CD4"/>
    <w:rsid w:val="009E4D10"/>
    <w:rsid w:val="009F3123"/>
    <w:rsid w:val="00A0608C"/>
    <w:rsid w:val="00A23870"/>
    <w:rsid w:val="00A51035"/>
    <w:rsid w:val="00A51E5F"/>
    <w:rsid w:val="00A66242"/>
    <w:rsid w:val="00A705C0"/>
    <w:rsid w:val="00A71BED"/>
    <w:rsid w:val="00A73C13"/>
    <w:rsid w:val="00A84CB1"/>
    <w:rsid w:val="00A90FC3"/>
    <w:rsid w:val="00A920B3"/>
    <w:rsid w:val="00A95DE1"/>
    <w:rsid w:val="00AA6A2B"/>
    <w:rsid w:val="00AC391D"/>
    <w:rsid w:val="00AD2BC0"/>
    <w:rsid w:val="00AD5C77"/>
    <w:rsid w:val="00B22322"/>
    <w:rsid w:val="00B2258A"/>
    <w:rsid w:val="00B234F0"/>
    <w:rsid w:val="00B31458"/>
    <w:rsid w:val="00B317B0"/>
    <w:rsid w:val="00B4108F"/>
    <w:rsid w:val="00B42CC3"/>
    <w:rsid w:val="00B5087C"/>
    <w:rsid w:val="00B52976"/>
    <w:rsid w:val="00B70890"/>
    <w:rsid w:val="00B75E7A"/>
    <w:rsid w:val="00B82C8E"/>
    <w:rsid w:val="00B921A4"/>
    <w:rsid w:val="00B9325B"/>
    <w:rsid w:val="00B938AC"/>
    <w:rsid w:val="00BA30D7"/>
    <w:rsid w:val="00BD1E6B"/>
    <w:rsid w:val="00C0410E"/>
    <w:rsid w:val="00C31545"/>
    <w:rsid w:val="00C31D64"/>
    <w:rsid w:val="00C3475A"/>
    <w:rsid w:val="00C40907"/>
    <w:rsid w:val="00C437B6"/>
    <w:rsid w:val="00C53189"/>
    <w:rsid w:val="00C707D4"/>
    <w:rsid w:val="00C7714F"/>
    <w:rsid w:val="00C85246"/>
    <w:rsid w:val="00C933FC"/>
    <w:rsid w:val="00C9738B"/>
    <w:rsid w:val="00CA28D3"/>
    <w:rsid w:val="00CB1B61"/>
    <w:rsid w:val="00CC1C06"/>
    <w:rsid w:val="00CC229D"/>
    <w:rsid w:val="00CC3274"/>
    <w:rsid w:val="00CC3755"/>
    <w:rsid w:val="00CC57AA"/>
    <w:rsid w:val="00CD4E76"/>
    <w:rsid w:val="00CD7C6C"/>
    <w:rsid w:val="00CE7361"/>
    <w:rsid w:val="00CF606D"/>
    <w:rsid w:val="00CF7702"/>
    <w:rsid w:val="00D02577"/>
    <w:rsid w:val="00D02D5B"/>
    <w:rsid w:val="00D109A1"/>
    <w:rsid w:val="00D118CF"/>
    <w:rsid w:val="00D205F9"/>
    <w:rsid w:val="00D2409E"/>
    <w:rsid w:val="00D5008C"/>
    <w:rsid w:val="00D50860"/>
    <w:rsid w:val="00D80B69"/>
    <w:rsid w:val="00D827F6"/>
    <w:rsid w:val="00D92FEF"/>
    <w:rsid w:val="00DA0AC1"/>
    <w:rsid w:val="00DA0DF7"/>
    <w:rsid w:val="00DA2BB4"/>
    <w:rsid w:val="00DA443A"/>
    <w:rsid w:val="00DA59BC"/>
    <w:rsid w:val="00DA78A6"/>
    <w:rsid w:val="00DC3EBD"/>
    <w:rsid w:val="00DC7953"/>
    <w:rsid w:val="00DC7BEC"/>
    <w:rsid w:val="00DD48DF"/>
    <w:rsid w:val="00DE247E"/>
    <w:rsid w:val="00DF3CF6"/>
    <w:rsid w:val="00E02D8D"/>
    <w:rsid w:val="00E074EE"/>
    <w:rsid w:val="00E4364C"/>
    <w:rsid w:val="00E43B92"/>
    <w:rsid w:val="00E46942"/>
    <w:rsid w:val="00E61BEE"/>
    <w:rsid w:val="00E7326D"/>
    <w:rsid w:val="00E73717"/>
    <w:rsid w:val="00E74D17"/>
    <w:rsid w:val="00EB1ED8"/>
    <w:rsid w:val="00ED3D20"/>
    <w:rsid w:val="00EE1438"/>
    <w:rsid w:val="00EE2E8D"/>
    <w:rsid w:val="00EE437A"/>
    <w:rsid w:val="00F14316"/>
    <w:rsid w:val="00F27F6A"/>
    <w:rsid w:val="00F34793"/>
    <w:rsid w:val="00F46C85"/>
    <w:rsid w:val="00F53B77"/>
    <w:rsid w:val="00F56180"/>
    <w:rsid w:val="00F61379"/>
    <w:rsid w:val="00F90071"/>
    <w:rsid w:val="00F90E37"/>
    <w:rsid w:val="00F92CD0"/>
    <w:rsid w:val="00FA6163"/>
    <w:rsid w:val="00FB1403"/>
    <w:rsid w:val="00FB4082"/>
    <w:rsid w:val="00FB5777"/>
    <w:rsid w:val="00FC3A8C"/>
    <w:rsid w:val="00FC4E80"/>
    <w:rsid w:val="00FD4CFC"/>
    <w:rsid w:val="00FD5AD2"/>
    <w:rsid w:val="00FE54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EF2DCC"/>
  <w15:docId w15:val="{2AB80985-DB71-4DD3-97F3-3EBE44151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0" w:lineRule="auto"/>
      </w:pPr>
    </w:pPrDefault>
  </w:docDefaults>
  <w:latentStyles w:defLockedState="0" w:defUIPriority="99" w:defSemiHidden="0" w:defUnhideWhenUsed="0" w:defQFormat="0" w:count="376">
    <w:lsdException w:name="Normal" w:uiPriority="1"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B70890"/>
    <w:pPr>
      <w:widowControl w:val="0"/>
      <w:autoSpaceDE w:val="0"/>
      <w:autoSpaceDN w:val="0"/>
      <w:adjustRightInd w:val="0"/>
      <w:spacing w:after="0" w:line="240" w:lineRule="auto"/>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21">
    <w:name w:val="Überschrift 21"/>
    <w:basedOn w:val="Standard"/>
    <w:uiPriority w:val="1"/>
    <w:qFormat/>
    <w:rsid w:val="00F61379"/>
    <w:pPr>
      <w:ind w:left="110"/>
      <w:outlineLvl w:val="1"/>
    </w:pPr>
    <w:rPr>
      <w:b/>
      <w:bCs/>
      <w:sz w:val="16"/>
      <w:szCs w:val="16"/>
    </w:rPr>
  </w:style>
  <w:style w:type="paragraph" w:styleId="Listenabsatz">
    <w:name w:val="List Paragraph"/>
    <w:basedOn w:val="Standard"/>
    <w:uiPriority w:val="1"/>
    <w:qFormat/>
    <w:rsid w:val="00F61379"/>
    <w:pPr>
      <w:spacing w:before="90"/>
      <w:ind w:left="470" w:hanging="360"/>
    </w:pPr>
    <w:rPr>
      <w:sz w:val="24"/>
      <w:szCs w:val="24"/>
    </w:rPr>
  </w:style>
  <w:style w:type="paragraph" w:customStyle="1" w:styleId="TableParagraph">
    <w:name w:val="Table Paragraph"/>
    <w:basedOn w:val="Standard"/>
    <w:uiPriority w:val="1"/>
    <w:qFormat/>
    <w:rsid w:val="00F61379"/>
    <w:rPr>
      <w:rFonts w:ascii="Times New Roman" w:hAnsi="Times New Roman" w:cs="Times New Roman"/>
      <w:sz w:val="24"/>
      <w:szCs w:val="24"/>
    </w:rPr>
  </w:style>
  <w:style w:type="paragraph" w:styleId="Sprechblasentext">
    <w:name w:val="Balloon Text"/>
    <w:basedOn w:val="Standard"/>
    <w:link w:val="SprechblasentextZchn"/>
    <w:uiPriority w:val="99"/>
    <w:semiHidden/>
    <w:unhideWhenUsed/>
    <w:rsid w:val="00650E38"/>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50E38"/>
    <w:rPr>
      <w:rFonts w:ascii="Tahoma" w:hAnsi="Tahoma" w:cs="Tahoma"/>
      <w:sz w:val="16"/>
      <w:szCs w:val="16"/>
    </w:rPr>
  </w:style>
  <w:style w:type="paragraph" w:styleId="Kopfzeile">
    <w:name w:val="header"/>
    <w:basedOn w:val="Standard"/>
    <w:link w:val="KopfzeileZchn"/>
    <w:uiPriority w:val="99"/>
    <w:unhideWhenUsed/>
    <w:rsid w:val="00650E38"/>
    <w:pPr>
      <w:tabs>
        <w:tab w:val="center" w:pos="4536"/>
        <w:tab w:val="right" w:pos="9072"/>
      </w:tabs>
    </w:pPr>
  </w:style>
  <w:style w:type="character" w:customStyle="1" w:styleId="KopfzeileZchn">
    <w:name w:val="Kopfzeile Zchn"/>
    <w:basedOn w:val="Absatz-Standardschriftart"/>
    <w:link w:val="Kopfzeile"/>
    <w:uiPriority w:val="99"/>
    <w:rsid w:val="00650E38"/>
    <w:rPr>
      <w:rFonts w:ascii="Arial" w:hAnsi="Arial" w:cs="Arial"/>
    </w:rPr>
  </w:style>
  <w:style w:type="paragraph" w:styleId="Fuzeile">
    <w:name w:val="footer"/>
    <w:basedOn w:val="Standard"/>
    <w:link w:val="FuzeileZchn"/>
    <w:uiPriority w:val="99"/>
    <w:unhideWhenUsed/>
    <w:rsid w:val="00650E38"/>
    <w:pPr>
      <w:tabs>
        <w:tab w:val="center" w:pos="4536"/>
        <w:tab w:val="right" w:pos="9072"/>
      </w:tabs>
    </w:pPr>
  </w:style>
  <w:style w:type="character" w:customStyle="1" w:styleId="FuzeileZchn">
    <w:name w:val="Fußzeile Zchn"/>
    <w:basedOn w:val="Absatz-Standardschriftart"/>
    <w:link w:val="Fuzeile"/>
    <w:uiPriority w:val="99"/>
    <w:rsid w:val="00650E38"/>
    <w:rPr>
      <w:rFonts w:ascii="Arial" w:hAnsi="Arial" w:cs="Arial"/>
    </w:rPr>
  </w:style>
  <w:style w:type="paragraph" w:customStyle="1" w:styleId="berschrift-H1">
    <w:name w:val="Überschrift-H1"/>
    <w:uiPriority w:val="1"/>
    <w:qFormat/>
    <w:rsid w:val="006A2213"/>
    <w:pPr>
      <w:kinsoku w:val="0"/>
      <w:overflowPunct w:val="0"/>
      <w:spacing w:after="0" w:line="320" w:lineRule="exact"/>
      <w:ind w:right="2098"/>
    </w:pPr>
    <w:rPr>
      <w:rFonts w:ascii="Arial" w:hAnsi="Arial" w:cs="Arial"/>
      <w:b/>
      <w:bCs/>
      <w:color w:val="000000" w:themeColor="text1"/>
      <w:sz w:val="28"/>
      <w:szCs w:val="28"/>
    </w:rPr>
  </w:style>
  <w:style w:type="paragraph" w:customStyle="1" w:styleId="Ort-Datum">
    <w:name w:val="Ort-Datum"/>
    <w:basedOn w:val="Copytext"/>
    <w:uiPriority w:val="1"/>
    <w:qFormat/>
    <w:rsid w:val="009D411D"/>
    <w:pPr>
      <w:spacing w:after="320"/>
    </w:pPr>
    <w:rPr>
      <w:sz w:val="18"/>
      <w:szCs w:val="18"/>
    </w:rPr>
  </w:style>
  <w:style w:type="paragraph" w:customStyle="1" w:styleId="Copytext">
    <w:name w:val="Copytext"/>
    <w:basedOn w:val="Standard"/>
    <w:uiPriority w:val="1"/>
    <w:qFormat/>
    <w:rsid w:val="00C40907"/>
    <w:pPr>
      <w:widowControl/>
      <w:kinsoku w:val="0"/>
      <w:overflowPunct w:val="0"/>
      <w:autoSpaceDE/>
      <w:autoSpaceDN/>
      <w:adjustRightInd/>
      <w:spacing w:line="320" w:lineRule="exact"/>
      <w:ind w:right="2098"/>
    </w:pPr>
    <w:rPr>
      <w:bCs/>
      <w:color w:val="000000" w:themeColor="text1"/>
      <w:sz w:val="20"/>
      <w:szCs w:val="20"/>
    </w:rPr>
  </w:style>
  <w:style w:type="paragraph" w:customStyle="1" w:styleId="Liste-bullets">
    <w:name w:val="Liste-bullets"/>
    <w:uiPriority w:val="1"/>
    <w:qFormat/>
    <w:rsid w:val="009D411D"/>
    <w:pPr>
      <w:numPr>
        <w:numId w:val="1"/>
      </w:numPr>
      <w:tabs>
        <w:tab w:val="left" w:pos="470"/>
      </w:tabs>
      <w:kinsoku w:val="0"/>
      <w:overflowPunct w:val="0"/>
      <w:spacing w:after="0" w:line="320" w:lineRule="exact"/>
      <w:ind w:left="357" w:right="2098" w:hanging="357"/>
    </w:pPr>
    <w:rPr>
      <w:rFonts w:ascii="Arial" w:hAnsi="Arial" w:cs="Arial"/>
      <w:color w:val="000000" w:themeColor="text1"/>
      <w:sz w:val="20"/>
      <w:szCs w:val="20"/>
    </w:rPr>
  </w:style>
  <w:style w:type="paragraph" w:customStyle="1" w:styleId="BU-Head">
    <w:name w:val="BU-Head"/>
    <w:basedOn w:val="Copytext-Zwischenberschrift"/>
    <w:uiPriority w:val="1"/>
    <w:qFormat/>
    <w:rsid w:val="00080930"/>
    <w:pPr>
      <w:spacing w:before="95" w:line="200" w:lineRule="exact"/>
      <w:ind w:left="28" w:right="0"/>
    </w:pPr>
    <w:rPr>
      <w:sz w:val="16"/>
    </w:rPr>
  </w:style>
  <w:style w:type="paragraph" w:customStyle="1" w:styleId="Copytext-Zwischenberschrift">
    <w:name w:val="Copytext-Zwischenüberschrift"/>
    <w:basedOn w:val="Copytext"/>
    <w:uiPriority w:val="1"/>
    <w:qFormat/>
    <w:rsid w:val="00FE5478"/>
    <w:pPr>
      <w:spacing w:before="320"/>
    </w:pPr>
    <w:rPr>
      <w:b/>
    </w:rPr>
  </w:style>
  <w:style w:type="table" w:styleId="Tabellenraster">
    <w:name w:val="Table Grid"/>
    <w:basedOn w:val="NormaleTabelle"/>
    <w:uiPriority w:val="59"/>
    <w:rsid w:val="00C85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
    <w:name w:val="BU"/>
    <w:basedOn w:val="BU-Head"/>
    <w:uiPriority w:val="1"/>
    <w:qFormat/>
    <w:rsid w:val="00080930"/>
    <w:pPr>
      <w:spacing w:before="16"/>
    </w:pPr>
    <w:rPr>
      <w:b w:val="0"/>
    </w:rPr>
  </w:style>
  <w:style w:type="paragraph" w:customStyle="1" w:styleId="Unternehmensportrait-H1">
    <w:name w:val="Unternehmensportrait-H1"/>
    <w:basedOn w:val="berschrift-H1"/>
    <w:next w:val="Unternehmensportrait-H2"/>
    <w:link w:val="Unternehmensportrait-H1Zchn"/>
    <w:uiPriority w:val="1"/>
    <w:qFormat/>
    <w:rsid w:val="001D6722"/>
    <w:pPr>
      <w:spacing w:line="280" w:lineRule="exact"/>
    </w:pPr>
    <w:rPr>
      <w:sz w:val="20"/>
    </w:rPr>
  </w:style>
  <w:style w:type="paragraph" w:customStyle="1" w:styleId="Unternehmensportrait-H2">
    <w:name w:val="Unternehmensportrait-H2"/>
    <w:basedOn w:val="berschrift-H1"/>
    <w:uiPriority w:val="1"/>
    <w:qFormat/>
    <w:rsid w:val="00F53B77"/>
    <w:pPr>
      <w:spacing w:before="200" w:line="200" w:lineRule="exact"/>
    </w:pPr>
    <w:rPr>
      <w:sz w:val="16"/>
    </w:rPr>
  </w:style>
  <w:style w:type="character" w:customStyle="1" w:styleId="Unternehmensportrait-H1Zchn">
    <w:name w:val="Unternehmensportrait-H1 Zchn"/>
    <w:basedOn w:val="Absatz-Standardschriftart"/>
    <w:link w:val="Unternehmensportrait-H1"/>
    <w:uiPriority w:val="1"/>
    <w:rsid w:val="009E4D10"/>
    <w:rPr>
      <w:rFonts w:ascii="Arial" w:hAnsi="Arial" w:cs="Arial"/>
      <w:b/>
      <w:bCs/>
      <w:color w:val="231F20"/>
      <w:sz w:val="20"/>
      <w:szCs w:val="28"/>
    </w:rPr>
  </w:style>
  <w:style w:type="paragraph" w:customStyle="1" w:styleId="Unternehmensportrait-Linie">
    <w:name w:val="Unternehmensportrait-Linie"/>
    <w:basedOn w:val="Unternehmensportrait-H1"/>
    <w:uiPriority w:val="1"/>
    <w:qFormat/>
    <w:rsid w:val="00681C6A"/>
    <w:pPr>
      <w:pBdr>
        <w:bottom w:val="single" w:sz="4" w:space="0" w:color="auto"/>
      </w:pBdr>
      <w:spacing w:after="120" w:line="160" w:lineRule="exact"/>
      <w:ind w:left="28"/>
    </w:pPr>
    <w:rPr>
      <w:b w:val="0"/>
      <w:noProof/>
      <w:sz w:val="16"/>
      <w:szCs w:val="16"/>
    </w:rPr>
  </w:style>
  <w:style w:type="paragraph" w:customStyle="1" w:styleId="Unternehmensportrait">
    <w:name w:val="Unternehmensportrait"/>
    <w:basedOn w:val="Copytext"/>
    <w:link w:val="UnternehmensportraitZchn"/>
    <w:uiPriority w:val="1"/>
    <w:qFormat/>
    <w:rsid w:val="002C00E6"/>
    <w:pPr>
      <w:spacing w:line="200" w:lineRule="exact"/>
      <w:jc w:val="both"/>
    </w:pPr>
    <w:rPr>
      <w:sz w:val="16"/>
    </w:rPr>
  </w:style>
  <w:style w:type="character" w:customStyle="1" w:styleId="UnternehmensportraitZchn">
    <w:name w:val="Unternehmensportrait Zchn"/>
    <w:basedOn w:val="Unternehmensportrait-H1Zchn"/>
    <w:link w:val="Unternehmensportrait"/>
    <w:uiPriority w:val="1"/>
    <w:rsid w:val="002C00E6"/>
    <w:rPr>
      <w:rFonts w:ascii="Arial" w:hAnsi="Arial" w:cs="Arial"/>
      <w:b/>
      <w:bCs/>
      <w:color w:val="000000" w:themeColor="text1"/>
      <w:sz w:val="16"/>
      <w:szCs w:val="20"/>
    </w:rPr>
  </w:style>
  <w:style w:type="paragraph" w:customStyle="1" w:styleId="Unternehmenkommunikation">
    <w:name w:val="Unternehmenkommunikation"/>
    <w:basedOn w:val="Unternehmensportrait"/>
    <w:link w:val="UnternehmenkommunikationZchn"/>
    <w:uiPriority w:val="1"/>
    <w:qFormat/>
    <w:rsid w:val="00681C6A"/>
    <w:pPr>
      <w:tabs>
        <w:tab w:val="right" w:pos="7598"/>
      </w:tabs>
      <w:spacing w:line="280" w:lineRule="exact"/>
    </w:pPr>
    <w:rPr>
      <w:sz w:val="20"/>
    </w:rPr>
  </w:style>
  <w:style w:type="character" w:customStyle="1" w:styleId="UnternehmenkommunikationZchn">
    <w:name w:val="Unternehmenkommunikation Zchn"/>
    <w:basedOn w:val="UnternehmensportraitZchn"/>
    <w:link w:val="Unternehmenkommunikation"/>
    <w:uiPriority w:val="1"/>
    <w:rsid w:val="00681C6A"/>
    <w:rPr>
      <w:rFonts w:ascii="Arial" w:hAnsi="Arial" w:cs="Arial"/>
      <w:b/>
      <w:bCs/>
      <w:color w:val="000000" w:themeColor="text1"/>
      <w:sz w:val="20"/>
      <w:szCs w:val="20"/>
    </w:rPr>
  </w:style>
  <w:style w:type="paragraph" w:customStyle="1" w:styleId="Copytext-Intro">
    <w:name w:val="Copytext-Intro"/>
    <w:basedOn w:val="Copytext"/>
    <w:next w:val="Copytext"/>
    <w:uiPriority w:val="1"/>
    <w:qFormat/>
    <w:rsid w:val="009D411D"/>
    <w:pPr>
      <w:spacing w:before="320" w:after="320"/>
    </w:pPr>
    <w:rPr>
      <w:b/>
      <w:bCs w:val="0"/>
    </w:rPr>
  </w:style>
  <w:style w:type="character" w:styleId="Hyperlink">
    <w:name w:val="Hyperlink"/>
    <w:basedOn w:val="Absatz-Standardschriftart"/>
    <w:uiPriority w:val="99"/>
    <w:unhideWhenUsed/>
    <w:rsid w:val="009E3CD4"/>
    <w:rPr>
      <w:color w:val="0000FF" w:themeColor="hyperlink"/>
      <w:u w:val="single"/>
    </w:rPr>
  </w:style>
  <w:style w:type="paragraph" w:customStyle="1" w:styleId="UnternehmensportraitAnstand-unten">
    <w:name w:val="Unternehmensportrait_Anstand-unten"/>
    <w:basedOn w:val="Unternehmensportrait"/>
    <w:uiPriority w:val="1"/>
    <w:qFormat/>
    <w:rsid w:val="002C00E6"/>
    <w:pPr>
      <w:spacing w:after="200"/>
    </w:pPr>
  </w:style>
  <w:style w:type="paragraph" w:customStyle="1" w:styleId="berschrift-H2">
    <w:name w:val="Überschrift-H2"/>
    <w:basedOn w:val="berschrift-H1"/>
    <w:uiPriority w:val="1"/>
    <w:qFormat/>
    <w:rsid w:val="00D92FEF"/>
    <w:pPr>
      <w:spacing w:before="320"/>
    </w:pPr>
    <w:rPr>
      <w:b w:val="0"/>
      <w:sz w:val="20"/>
    </w:rPr>
  </w:style>
  <w:style w:type="paragraph" w:customStyle="1" w:styleId="Freigabedeckblatt-Text">
    <w:name w:val="Freigabedeckblatt-Text"/>
    <w:basedOn w:val="Standard"/>
    <w:uiPriority w:val="1"/>
    <w:qFormat/>
    <w:rsid w:val="00D109A1"/>
    <w:pPr>
      <w:keepNext/>
      <w:widowControl/>
      <w:autoSpaceDE/>
      <w:autoSpaceDN/>
      <w:adjustRightInd/>
      <w:outlineLvl w:val="6"/>
    </w:pPr>
    <w:rPr>
      <w:rFonts w:eastAsia="Times New Roman"/>
      <w:bCs/>
      <w:sz w:val="20"/>
      <w:szCs w:val="24"/>
    </w:rPr>
  </w:style>
  <w:style w:type="paragraph" w:customStyle="1" w:styleId="Freigabedeckblatt-H1">
    <w:name w:val="Freigabedeckblatt-H1"/>
    <w:basedOn w:val="Freigabedeckblatt-Text"/>
    <w:uiPriority w:val="1"/>
    <w:qFormat/>
    <w:rsid w:val="00D109A1"/>
    <w:pPr>
      <w:spacing w:line="3840" w:lineRule="auto"/>
    </w:pPr>
    <w:rPr>
      <w:b/>
      <w:bCs w:val="0"/>
      <w:sz w:val="28"/>
    </w:rPr>
  </w:style>
  <w:style w:type="paragraph" w:customStyle="1" w:styleId="Bu-Bildanker">
    <w:name w:val="Bu-Bildanker"/>
    <w:basedOn w:val="BU"/>
    <w:uiPriority w:val="1"/>
    <w:qFormat/>
    <w:rsid w:val="00B70890"/>
    <w:pPr>
      <w:spacing w:before="0"/>
    </w:pPr>
    <w:rPr>
      <w:lang w:val="en-US"/>
    </w:rPr>
  </w:style>
  <w:style w:type="paragraph" w:styleId="berarbeitung">
    <w:name w:val="Revision"/>
    <w:hidden/>
    <w:uiPriority w:val="99"/>
    <w:semiHidden/>
    <w:rsid w:val="00894246"/>
    <w:pPr>
      <w:spacing w:after="0" w:line="240" w:lineRule="auto"/>
    </w:pPr>
    <w:rPr>
      <w:rFonts w:ascii="Arial" w:hAnsi="Arial" w:cs="Arial"/>
    </w:rPr>
  </w:style>
  <w:style w:type="character" w:styleId="Kommentarzeichen">
    <w:name w:val="annotation reference"/>
    <w:basedOn w:val="Absatz-Standardschriftart"/>
    <w:uiPriority w:val="99"/>
    <w:semiHidden/>
    <w:unhideWhenUsed/>
    <w:rsid w:val="00802C23"/>
    <w:rPr>
      <w:sz w:val="16"/>
      <w:szCs w:val="16"/>
    </w:rPr>
  </w:style>
  <w:style w:type="paragraph" w:styleId="Kommentartext">
    <w:name w:val="annotation text"/>
    <w:basedOn w:val="Standard"/>
    <w:link w:val="KommentartextZchn"/>
    <w:uiPriority w:val="99"/>
    <w:unhideWhenUsed/>
    <w:rsid w:val="00802C23"/>
    <w:rPr>
      <w:sz w:val="20"/>
      <w:szCs w:val="20"/>
    </w:rPr>
  </w:style>
  <w:style w:type="character" w:customStyle="1" w:styleId="KommentartextZchn">
    <w:name w:val="Kommentartext Zchn"/>
    <w:basedOn w:val="Absatz-Standardschriftart"/>
    <w:link w:val="Kommentartext"/>
    <w:uiPriority w:val="99"/>
    <w:rsid w:val="00802C23"/>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802C23"/>
    <w:rPr>
      <w:b/>
      <w:bCs/>
    </w:rPr>
  </w:style>
  <w:style w:type="character" w:customStyle="1" w:styleId="KommentarthemaZchn">
    <w:name w:val="Kommentarthema Zchn"/>
    <w:basedOn w:val="KommentartextZchn"/>
    <w:link w:val="Kommentarthema"/>
    <w:uiPriority w:val="99"/>
    <w:semiHidden/>
    <w:rsid w:val="00802C23"/>
    <w:rPr>
      <w:rFonts w:ascii="Arial" w:hAnsi="Arial" w:cs="Arial"/>
      <w:b/>
      <w:bCs/>
      <w:sz w:val="20"/>
      <w:szCs w:val="20"/>
    </w:rPr>
  </w:style>
  <w:style w:type="character" w:styleId="NichtaufgelsteErwhnung">
    <w:name w:val="Unresolved Mention"/>
    <w:basedOn w:val="Absatz-Standardschriftart"/>
    <w:uiPriority w:val="99"/>
    <w:semiHidden/>
    <w:unhideWhenUsed/>
    <w:rsid w:val="006D3B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maltzan.s@rittal.d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ittal.de" TargetMode="External"/><Relationship Id="rId5" Type="http://schemas.openxmlformats.org/officeDocument/2006/relationships/numbering" Target="numbering.xml"/><Relationship Id="rId15" Type="http://schemas.openxmlformats.org/officeDocument/2006/relationships/hyperlink" Target="mailto:koch.hr@rittal.d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ueller.co@rittal.d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bb7f0e1e-ed81-45e7-ba33-7f03397669dc" xsi:nil="true"/>
    <lcf76f155ced4ddcb4097134ff3c332f xmlns="a2017560-cccf-46e1-84d1-27e8e4de064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DAE9CA7D8058048B50D46784D8FAF0D" ma:contentTypeVersion="17" ma:contentTypeDescription="Ein neues Dokument erstellen." ma:contentTypeScope="" ma:versionID="96b54f3e0280d805f59879a9570d4496">
  <xsd:schema xmlns:xsd="http://www.w3.org/2001/XMLSchema" xmlns:xs="http://www.w3.org/2001/XMLSchema" xmlns:p="http://schemas.microsoft.com/office/2006/metadata/properties" xmlns:ns2="a2017560-cccf-46e1-84d1-27e8e4de0641" xmlns:ns3="bb7f0e1e-ed81-45e7-ba33-7f03397669dc" targetNamespace="http://schemas.microsoft.com/office/2006/metadata/properties" ma:root="true" ma:fieldsID="47a0df919eb135f0a745d109d7b5d81b" ns2:_="" ns3:_="">
    <xsd:import namespace="a2017560-cccf-46e1-84d1-27e8e4de0641"/>
    <xsd:import namespace="bb7f0e1e-ed81-45e7-ba33-7f03397669d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LengthInSeconds"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017560-cccf-46e1-84d1-27e8e4de0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36cbbdd1-cd97-43a8-ac70-7fcd53eb54c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7f0e1e-ed81-45e7-ba33-7f03397669dc"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9ce582de-c5b7-4be6-99a5-5e89463a5d47}" ma:internalName="TaxCatchAll" ma:showField="CatchAllData" ma:web="bb7f0e1e-ed81-45e7-ba33-7f03397669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21A085-8F38-43AC-8DC6-F0F3EAC112DD}">
  <ds:schemaRefs>
    <ds:schemaRef ds:uri="http://schemas.openxmlformats.org/officeDocument/2006/bibliography"/>
  </ds:schemaRefs>
</ds:datastoreItem>
</file>

<file path=customXml/itemProps2.xml><?xml version="1.0" encoding="utf-8"?>
<ds:datastoreItem xmlns:ds="http://schemas.openxmlformats.org/officeDocument/2006/customXml" ds:itemID="{EAD2AB35-16A7-46FC-BB22-ADA7F8AAE123}">
  <ds:schemaRefs>
    <ds:schemaRef ds:uri="http://schemas.microsoft.com/office/2006/metadata/properties"/>
    <ds:schemaRef ds:uri="http://schemas.microsoft.com/office/infopath/2007/PartnerControls"/>
    <ds:schemaRef ds:uri="bb7f0e1e-ed81-45e7-ba33-7f03397669dc"/>
    <ds:schemaRef ds:uri="a2017560-cccf-46e1-84d1-27e8e4de0641"/>
  </ds:schemaRefs>
</ds:datastoreItem>
</file>

<file path=customXml/itemProps3.xml><?xml version="1.0" encoding="utf-8"?>
<ds:datastoreItem xmlns:ds="http://schemas.openxmlformats.org/officeDocument/2006/customXml" ds:itemID="{E58BA7B2-B29D-4C37-BFAC-BDC671998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017560-cccf-46e1-84d1-27e8e4de0641"/>
    <ds:schemaRef ds:uri="bb7f0e1e-ed81-45e7-ba33-7f03397669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CC2286-DBDC-4C6B-872E-E8336F1A6A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1107</Words>
  <Characters>7534</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OCM GmbH</Company>
  <LinksUpToDate>false</LinksUpToDate>
  <CharactersWithSpaces>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ideaPad1</dc:creator>
  <cp:keywords/>
  <dc:description/>
  <cp:lastModifiedBy>Hans-Robert Koch</cp:lastModifiedBy>
  <cp:revision>2</cp:revision>
  <cp:lastPrinted>2024-01-28T14:20:00Z</cp:lastPrinted>
  <dcterms:created xsi:type="dcterms:W3CDTF">2026-04-17T15:04:00Z</dcterms:created>
  <dcterms:modified xsi:type="dcterms:W3CDTF">2026-04-17T15:04:00Z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Adobe InDesign 19.0 (Macintosh)</vt:lpwstr>
  </property>
  <property fmtid="{D5CDD505-2E9C-101B-9397-08002B2CF9AE}" pid="3" name="Producer">
    <vt:lpwstr>Adobe PDF Library 17.0</vt:lpwstr>
  </property>
  <property fmtid="{D5CDD505-2E9C-101B-9397-08002B2CF9AE}" pid="4" name="GrammarlyDocumentId">
    <vt:lpwstr>64e29b7570e7e0f1bb3e64372e32ac4ec6662b6f2531cc3e681baccf8a7917c2</vt:lpwstr>
  </property>
  <property fmtid="{D5CDD505-2E9C-101B-9397-08002B2CF9AE}" pid="5" name="MSIP_Label_3a28a66c-3c7f-463f-9f3d-483220f1d838_Enabled">
    <vt:lpwstr>true</vt:lpwstr>
  </property>
  <property fmtid="{D5CDD505-2E9C-101B-9397-08002B2CF9AE}" pid="6" name="MSIP_Label_3a28a66c-3c7f-463f-9f3d-483220f1d838_SetDate">
    <vt:lpwstr>2026-01-29T09:11:53Z</vt:lpwstr>
  </property>
  <property fmtid="{D5CDD505-2E9C-101B-9397-08002B2CF9AE}" pid="7" name="MSIP_Label_3a28a66c-3c7f-463f-9f3d-483220f1d838_Method">
    <vt:lpwstr>Standard</vt:lpwstr>
  </property>
  <property fmtid="{D5CDD505-2E9C-101B-9397-08002B2CF9AE}" pid="8" name="MSIP_Label_3a28a66c-3c7f-463f-9f3d-483220f1d838_Name">
    <vt:lpwstr>FLG_Internal</vt:lpwstr>
  </property>
  <property fmtid="{D5CDD505-2E9C-101B-9397-08002B2CF9AE}" pid="9" name="MSIP_Label_3a28a66c-3c7f-463f-9f3d-483220f1d838_SiteId">
    <vt:lpwstr>a8218bc3-7d4c-4a61-b912-a6ca487118dd</vt:lpwstr>
  </property>
  <property fmtid="{D5CDD505-2E9C-101B-9397-08002B2CF9AE}" pid="10" name="MSIP_Label_3a28a66c-3c7f-463f-9f3d-483220f1d838_ActionId">
    <vt:lpwstr>441f54d7-b566-4d4c-8bcb-f510f94acb02</vt:lpwstr>
  </property>
  <property fmtid="{D5CDD505-2E9C-101B-9397-08002B2CF9AE}" pid="11" name="MSIP_Label_3a28a66c-3c7f-463f-9f3d-483220f1d838_ContentBits">
    <vt:lpwstr>0</vt:lpwstr>
  </property>
  <property fmtid="{D5CDD505-2E9C-101B-9397-08002B2CF9AE}" pid="12" name="MSIP_Label_3a28a66c-3c7f-463f-9f3d-483220f1d838_Tag">
    <vt:lpwstr>10, 3, 0, 1</vt:lpwstr>
  </property>
  <property fmtid="{D5CDD505-2E9C-101B-9397-08002B2CF9AE}" pid="13" name="ContentTypeId">
    <vt:lpwstr>0x0101007DAE9CA7D8058048B50D46784D8FAF0D</vt:lpwstr>
  </property>
  <property fmtid="{D5CDD505-2E9C-101B-9397-08002B2CF9AE}" pid="14" name="MediaServiceImageTags">
    <vt:lpwstr/>
  </property>
</Properties>
</file>